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Default Extension="xlsx" ContentType="application/vnd.openxmlformats-officedocument.spreadsheetml.sheet"/>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c="http://schemas.openxmlformats.org/drawingml/2006/chart" xmlns:pic="http://schemas.openxmlformats.org/drawingml/2006/picture" xmlns:a14="http://schemas.microsoft.com/office/drawing/2010/main" mc:Ignorable="w14 w15 wp14">
  <w:body>
    <w:p xmlns:wp14="http://schemas.microsoft.com/office/word/2010/wordml" w:rsidRPr="002910C2" w:rsidR="002910C2" w:rsidP="002910C2" w:rsidRDefault="002910C2" w14:paraId="672A6659" wp14:textId="77777777">
      <w:pPr>
        <w:spacing w:line="480" w:lineRule="auto"/>
        <w:jc w:val="center"/>
        <w:rPr>
          <w:rFonts w:ascii="Times New Roman" w:hAnsi="Times New Roman" w:cs="Times New Roman"/>
          <w:sz w:val="24"/>
          <w:szCs w:val="24"/>
        </w:rPr>
      </w:pPr>
    </w:p>
    <w:p xmlns:wp14="http://schemas.microsoft.com/office/word/2010/wordml" w:rsidRPr="002910C2" w:rsidR="002910C2" w:rsidP="002910C2" w:rsidRDefault="002910C2" w14:paraId="0A37501D" wp14:textId="77777777">
      <w:pPr>
        <w:spacing w:line="480" w:lineRule="auto"/>
        <w:jc w:val="center"/>
        <w:rPr>
          <w:rFonts w:ascii="Times New Roman" w:hAnsi="Times New Roman" w:cs="Times New Roman"/>
          <w:sz w:val="24"/>
          <w:szCs w:val="24"/>
        </w:rPr>
      </w:pPr>
    </w:p>
    <w:p xmlns:wp14="http://schemas.microsoft.com/office/word/2010/wordml" w:rsidRPr="002910C2" w:rsidR="002910C2" w:rsidP="002910C2" w:rsidRDefault="002910C2" w14:paraId="5DAB6C7B" wp14:textId="77777777">
      <w:pPr>
        <w:spacing w:line="480" w:lineRule="auto"/>
        <w:jc w:val="center"/>
        <w:rPr>
          <w:rFonts w:ascii="Times New Roman" w:hAnsi="Times New Roman" w:cs="Times New Roman"/>
          <w:sz w:val="24"/>
          <w:szCs w:val="24"/>
        </w:rPr>
      </w:pPr>
    </w:p>
    <w:p xmlns:wp14="http://schemas.microsoft.com/office/word/2010/wordml" w:rsidRPr="002910C2" w:rsidR="002910C2" w:rsidP="002910C2" w:rsidRDefault="002910C2" w14:paraId="02EB378F" wp14:textId="77777777">
      <w:pPr>
        <w:spacing w:line="480" w:lineRule="auto"/>
        <w:jc w:val="center"/>
        <w:rPr>
          <w:rFonts w:ascii="Times New Roman" w:hAnsi="Times New Roman" w:cs="Times New Roman"/>
          <w:sz w:val="24"/>
          <w:szCs w:val="24"/>
        </w:rPr>
      </w:pPr>
    </w:p>
    <w:p xmlns:wp14="http://schemas.microsoft.com/office/word/2010/wordml" w:rsidRPr="002910C2" w:rsidR="002910C2" w:rsidP="002910C2" w:rsidRDefault="002910C2" w14:paraId="6A05A809" wp14:textId="77777777">
      <w:pPr>
        <w:spacing w:line="480" w:lineRule="auto"/>
        <w:jc w:val="center"/>
        <w:rPr>
          <w:rFonts w:ascii="Times New Roman" w:hAnsi="Times New Roman" w:cs="Times New Roman"/>
          <w:sz w:val="24"/>
          <w:szCs w:val="24"/>
        </w:rPr>
      </w:pPr>
    </w:p>
    <w:p w:rsidR="6CAD948A" w:rsidP="6CAD948A" w:rsidRDefault="6CAD948A" w14:paraId="1CCBC2EA" w14:textId="7B4AFB47">
      <w:pPr>
        <w:spacing w:after="160" w:line="480" w:lineRule="auto"/>
        <w:jc w:val="center"/>
        <w:rPr>
          <w:rFonts w:ascii="Times New Roman" w:hAnsi="Times New Roman" w:eastAsia="Times New Roman" w:cs="Times New Roman"/>
          <w:b w:val="0"/>
          <w:bCs w:val="0"/>
          <w:i w:val="0"/>
          <w:iCs w:val="0"/>
          <w:noProof w:val="0"/>
          <w:color w:val="000000" w:themeColor="text1" w:themeTint="FF" w:themeShade="FF"/>
          <w:sz w:val="40"/>
          <w:szCs w:val="40"/>
          <w:lang w:val="en-US"/>
        </w:rPr>
      </w:pPr>
      <w:r w:rsidRPr="6CAD948A" w:rsidR="6CAD948A">
        <w:rPr>
          <w:rFonts w:ascii="Times New Roman" w:hAnsi="Times New Roman" w:eastAsia="Times New Roman" w:cs="Times New Roman"/>
          <w:b w:val="0"/>
          <w:bCs w:val="0"/>
          <w:i w:val="0"/>
          <w:iCs w:val="0"/>
          <w:noProof w:val="0"/>
          <w:color w:val="000000" w:themeColor="text1" w:themeTint="FF" w:themeShade="FF"/>
          <w:sz w:val="40"/>
          <w:szCs w:val="40"/>
          <w:lang w:val="en-US"/>
        </w:rPr>
        <w:t>Week6: Unemployment and Inflation Part 1</w:t>
      </w:r>
    </w:p>
    <w:p w:rsidR="6CAD948A" w:rsidP="6CAD948A" w:rsidRDefault="6CAD948A" w14:paraId="120433A6" w14:textId="5C706CC4">
      <w:pPr>
        <w:spacing w:after="160" w:line="480" w:lineRule="auto"/>
        <w:jc w:val="center"/>
        <w:rPr>
          <w:rFonts w:ascii="Times New Roman" w:hAnsi="Times New Roman" w:eastAsia="Times New Roman" w:cs="Times New Roman"/>
          <w:b w:val="0"/>
          <w:bCs w:val="0"/>
          <w:i w:val="0"/>
          <w:iCs w:val="0"/>
          <w:noProof w:val="0"/>
          <w:color w:val="000000" w:themeColor="text1" w:themeTint="FF" w:themeShade="FF"/>
          <w:sz w:val="40"/>
          <w:szCs w:val="40"/>
          <w:lang w:val="en-US"/>
        </w:rPr>
      </w:pPr>
    </w:p>
    <w:p w:rsidR="6CAD948A" w:rsidP="6CAD948A" w:rsidRDefault="6CAD948A" w14:paraId="7063E164" w14:textId="2D1D0D42">
      <w:pPr>
        <w:spacing w:after="160" w:line="259" w:lineRule="auto"/>
        <w:jc w:val="center"/>
        <w:rPr>
          <w:rFonts w:ascii="Times New Roman" w:hAnsi="Times New Roman" w:eastAsia="Times New Roman" w:cs="Times New Roman"/>
          <w:b w:val="0"/>
          <w:bCs w:val="0"/>
          <w:i w:val="0"/>
          <w:iCs w:val="0"/>
          <w:noProof w:val="0"/>
          <w:color w:val="000000" w:themeColor="text1" w:themeTint="FF" w:themeShade="FF"/>
          <w:sz w:val="40"/>
          <w:szCs w:val="40"/>
          <w:lang w:val="en-US"/>
        </w:rPr>
      </w:pPr>
      <w:r w:rsidRPr="6CAD948A" w:rsidR="6CAD948A">
        <w:rPr>
          <w:rFonts w:ascii="Times New Roman" w:hAnsi="Times New Roman" w:eastAsia="Times New Roman" w:cs="Times New Roman"/>
          <w:b w:val="0"/>
          <w:bCs w:val="0"/>
          <w:i w:val="0"/>
          <w:iCs w:val="0"/>
          <w:noProof w:val="0"/>
          <w:color w:val="000000" w:themeColor="text1" w:themeTint="FF" w:themeShade="FF"/>
          <w:sz w:val="40"/>
          <w:szCs w:val="40"/>
          <w:lang w:val="en-US"/>
        </w:rPr>
        <w:t>Said AL-Mubaidin</w:t>
      </w:r>
    </w:p>
    <w:p w:rsidR="6CAD948A" w:rsidP="6CAD948A" w:rsidRDefault="6CAD948A" w14:paraId="2C67A703" w14:textId="5F58D618">
      <w:pPr>
        <w:spacing w:after="160" w:line="259" w:lineRule="auto"/>
        <w:jc w:val="center"/>
        <w:rPr>
          <w:rFonts w:ascii="Times New Roman" w:hAnsi="Times New Roman" w:eastAsia="Times New Roman" w:cs="Times New Roman"/>
          <w:b w:val="0"/>
          <w:bCs w:val="0"/>
          <w:i w:val="0"/>
          <w:iCs w:val="0"/>
          <w:noProof w:val="0"/>
          <w:color w:val="000000" w:themeColor="text1" w:themeTint="FF" w:themeShade="FF"/>
          <w:sz w:val="40"/>
          <w:szCs w:val="40"/>
          <w:lang w:val="en-US"/>
        </w:rPr>
      </w:pPr>
    </w:p>
    <w:p w:rsidR="6CAD948A" w:rsidP="6CAD948A" w:rsidRDefault="6CAD948A" w14:paraId="3FC85C89" w14:textId="53C76B66">
      <w:pPr>
        <w:spacing w:after="160" w:line="259" w:lineRule="auto"/>
        <w:jc w:val="center"/>
        <w:rPr>
          <w:rFonts w:ascii="Times New Roman" w:hAnsi="Times New Roman" w:eastAsia="Times New Roman" w:cs="Times New Roman"/>
          <w:b w:val="0"/>
          <w:bCs w:val="0"/>
          <w:i w:val="0"/>
          <w:iCs w:val="0"/>
          <w:noProof w:val="0"/>
          <w:color w:val="000000" w:themeColor="text1" w:themeTint="FF" w:themeShade="FF"/>
          <w:sz w:val="40"/>
          <w:szCs w:val="40"/>
          <w:lang w:val="en-US"/>
        </w:rPr>
      </w:pPr>
      <w:r w:rsidRPr="6CAD948A" w:rsidR="6CAD948A">
        <w:rPr>
          <w:rFonts w:ascii="Times New Roman" w:hAnsi="Times New Roman" w:eastAsia="Times New Roman" w:cs="Times New Roman"/>
          <w:b w:val="0"/>
          <w:bCs w:val="0"/>
          <w:i w:val="0"/>
          <w:iCs w:val="0"/>
          <w:noProof w:val="0"/>
          <w:color w:val="000000" w:themeColor="text1" w:themeTint="FF" w:themeShade="FF"/>
          <w:sz w:val="40"/>
          <w:szCs w:val="40"/>
          <w:lang w:val="en-US"/>
        </w:rPr>
        <w:t>ECON545</w:t>
      </w:r>
    </w:p>
    <w:p w:rsidR="6CAD948A" w:rsidP="6CAD948A" w:rsidRDefault="6CAD948A" w14:paraId="6FA8FA40" w14:textId="4FABEA75">
      <w:pPr>
        <w:pStyle w:val="Header"/>
        <w:spacing w:after="0" w:line="720" w:lineRule="auto"/>
        <w:ind w:left="-115"/>
        <w:jc w:val="center"/>
        <w:rPr>
          <w:rFonts w:ascii="Times New Roman" w:hAnsi="Times New Roman" w:eastAsia="Times New Roman" w:cs="Times New Roman"/>
          <w:b w:val="0"/>
          <w:bCs w:val="0"/>
          <w:i w:val="0"/>
          <w:iCs w:val="0"/>
          <w:noProof w:val="0"/>
          <w:color w:val="000000" w:themeColor="text1" w:themeTint="FF" w:themeShade="FF"/>
          <w:sz w:val="40"/>
          <w:szCs w:val="40"/>
          <w:lang w:val="en-US"/>
        </w:rPr>
      </w:pPr>
      <w:r w:rsidRPr="6CAD948A" w:rsidR="6CAD948A">
        <w:rPr>
          <w:rFonts w:ascii="Times New Roman" w:hAnsi="Times New Roman" w:eastAsia="Times New Roman" w:cs="Times New Roman"/>
          <w:b w:val="0"/>
          <w:bCs w:val="0"/>
          <w:i w:val="0"/>
          <w:iCs w:val="0"/>
          <w:noProof w:val="0"/>
          <w:color w:val="000000" w:themeColor="text1" w:themeTint="FF" w:themeShade="FF"/>
          <w:sz w:val="40"/>
          <w:szCs w:val="40"/>
          <w:lang w:val="en-US"/>
        </w:rPr>
        <w:t>Professor: Issam ABU-Ghallous</w:t>
      </w:r>
    </w:p>
    <w:p w:rsidR="6CAD948A" w:rsidP="6CAD948A" w:rsidRDefault="6CAD948A" w14:paraId="7EAB9130" w14:textId="748C0F96">
      <w:pPr>
        <w:spacing w:after="160" w:line="480" w:lineRule="auto"/>
        <w:jc w:val="center"/>
        <w:rPr>
          <w:rFonts w:ascii="Times New Roman" w:hAnsi="Times New Roman" w:eastAsia="Times New Roman" w:cs="Times New Roman"/>
          <w:b w:val="0"/>
          <w:bCs w:val="0"/>
          <w:i w:val="0"/>
          <w:iCs w:val="0"/>
          <w:noProof w:val="0"/>
          <w:color w:val="000000" w:themeColor="text1" w:themeTint="FF" w:themeShade="FF"/>
          <w:sz w:val="40"/>
          <w:szCs w:val="40"/>
          <w:lang w:val="en-US"/>
        </w:rPr>
      </w:pPr>
      <w:r w:rsidRPr="6CAD948A" w:rsidR="6CAD948A">
        <w:rPr>
          <w:rFonts w:ascii="Times New Roman" w:hAnsi="Times New Roman" w:eastAsia="Times New Roman" w:cs="Times New Roman"/>
          <w:b w:val="0"/>
          <w:bCs w:val="0"/>
          <w:i w:val="0"/>
          <w:iCs w:val="0"/>
          <w:noProof w:val="0"/>
          <w:color w:val="000000" w:themeColor="text1" w:themeTint="FF" w:themeShade="FF"/>
          <w:sz w:val="40"/>
          <w:szCs w:val="40"/>
          <w:lang w:val="en-US"/>
        </w:rPr>
        <w:t>12/4/2019</w:t>
      </w:r>
    </w:p>
    <w:p w:rsidR="6CAD948A" w:rsidP="6CAD948A" w:rsidRDefault="6CAD948A" w14:paraId="062B5B37" w14:textId="330B66A6">
      <w:pPr>
        <w:pStyle w:val="Normal"/>
        <w:spacing w:line="480" w:lineRule="auto"/>
        <w:jc w:val="center"/>
        <w:rPr>
          <w:rFonts w:ascii="Times New Roman" w:hAnsi="Times New Roman" w:eastAsia="Calibri" w:cs="Times New Roman"/>
          <w:sz w:val="24"/>
          <w:szCs w:val="24"/>
        </w:rPr>
      </w:pPr>
    </w:p>
    <w:p xmlns:wp14="http://schemas.microsoft.com/office/word/2010/wordml" w:rsidR="002910C2" w:rsidP="002910C2" w:rsidRDefault="002910C2" w14:paraId="5A39BBE3" wp14:textId="77777777">
      <w:pPr>
        <w:spacing w:line="480" w:lineRule="auto"/>
        <w:jc w:val="center"/>
        <w:rPr>
          <w:rFonts w:ascii="Times New Roman" w:hAnsi="Times New Roman" w:cs="Times New Roman"/>
          <w:sz w:val="24"/>
          <w:szCs w:val="24"/>
        </w:rPr>
      </w:pPr>
    </w:p>
    <w:p xmlns:wp14="http://schemas.microsoft.com/office/word/2010/wordml" w:rsidR="00837C16" w:rsidP="002910C2" w:rsidRDefault="00837C16" w14:paraId="41C8F396" wp14:textId="77777777">
      <w:pPr>
        <w:spacing w:line="480" w:lineRule="auto"/>
        <w:jc w:val="center"/>
        <w:rPr>
          <w:rFonts w:ascii="Times New Roman" w:hAnsi="Times New Roman" w:cs="Times New Roman"/>
          <w:sz w:val="24"/>
          <w:szCs w:val="24"/>
        </w:rPr>
      </w:pPr>
    </w:p>
    <w:p xmlns:wp14="http://schemas.microsoft.com/office/word/2010/wordml" w:rsidR="00837C16" w:rsidP="002910C2" w:rsidRDefault="00837C16" w14:paraId="72A3D3EC" wp14:textId="77777777">
      <w:pPr>
        <w:spacing w:line="480" w:lineRule="auto"/>
        <w:jc w:val="center"/>
        <w:rPr>
          <w:rFonts w:ascii="Times New Roman" w:hAnsi="Times New Roman" w:cs="Times New Roman"/>
          <w:sz w:val="24"/>
          <w:szCs w:val="24"/>
        </w:rPr>
      </w:pPr>
    </w:p>
    <w:p xmlns:wp14="http://schemas.microsoft.com/office/word/2010/wordml" w:rsidRPr="002910C2" w:rsidR="00837C16" w:rsidP="6CAD948A" w:rsidRDefault="00837C16" w14:paraId="6CBBC37C" wp14:textId="73C47C34">
      <w:pPr>
        <w:pStyle w:val="Normal"/>
        <w:spacing w:line="480" w:lineRule="auto"/>
        <w:jc w:val="center"/>
        <w:rPr>
          <w:rFonts w:ascii="Times New Roman" w:hAnsi="Times New Roman" w:cs="Times New Roman"/>
          <w:sz w:val="24"/>
          <w:szCs w:val="24"/>
        </w:rPr>
      </w:pPr>
      <w:r w:rsidRPr="6CAD948A" w:rsidR="6CAD948A">
        <w:rPr>
          <w:rFonts w:ascii="Times New Roman" w:hAnsi="Times New Roman" w:cs="Times New Roman"/>
          <w:sz w:val="24"/>
          <w:szCs w:val="24"/>
        </w:rPr>
        <w:t>Unemployment and Inflation</w:t>
      </w:r>
    </w:p>
    <w:p xmlns:wp14="http://schemas.microsoft.com/office/word/2010/wordml" w:rsidRPr="002910C2" w:rsidR="00837C16" w:rsidP="002910C2" w:rsidRDefault="00837C16" w14:paraId="73EF53F5" wp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PART I</w:t>
      </w:r>
    </w:p>
    <w:p xmlns:wp14="http://schemas.microsoft.com/office/word/2010/wordml" w:rsidRPr="002910C2" w:rsidR="00F77418" w:rsidP="002910C2" w:rsidRDefault="00F77418" w14:paraId="3E7A9F1C" wp14:textId="77777777">
      <w:pPr>
        <w:spacing w:line="480" w:lineRule="auto"/>
        <w:jc w:val="center"/>
        <w:rPr>
          <w:rFonts w:ascii="Times New Roman" w:hAnsi="Times New Roman" w:cs="Times New Roman"/>
          <w:b/>
          <w:sz w:val="24"/>
          <w:szCs w:val="24"/>
        </w:rPr>
      </w:pPr>
      <w:r w:rsidRPr="002910C2">
        <w:rPr>
          <w:rFonts w:ascii="Times New Roman" w:hAnsi="Times New Roman" w:cs="Times New Roman"/>
          <w:b/>
          <w:sz w:val="24"/>
          <w:szCs w:val="24"/>
        </w:rPr>
        <w:t>Introduction</w:t>
      </w:r>
    </w:p>
    <w:p xmlns:wp14="http://schemas.microsoft.com/office/word/2010/wordml" w:rsidRPr="002910C2" w:rsidR="002910C2" w:rsidP="002910C2" w:rsidRDefault="00F77418" w14:paraId="7C1FD223" wp14:textId="77777777">
      <w:pPr>
        <w:spacing w:line="480" w:lineRule="auto"/>
        <w:ind w:firstLine="720"/>
        <w:rPr>
          <w:rFonts w:ascii="Times New Roman" w:hAnsi="Times New Roman" w:cs="Times New Roman"/>
          <w:sz w:val="24"/>
          <w:szCs w:val="24"/>
        </w:rPr>
      </w:pPr>
      <w:r w:rsidRPr="002910C2">
        <w:rPr>
          <w:rFonts w:ascii="Times New Roman" w:hAnsi="Times New Roman" w:cs="Times New Roman"/>
          <w:sz w:val="24"/>
          <w:szCs w:val="24"/>
        </w:rPr>
        <w:t xml:space="preserve">Economics is essential in every nation. It plays a crucial role in improving living standards and making society a right place. Economists have defended that the status of every economy is profoundly challenged by the </w:t>
      </w:r>
      <w:r w:rsidRPr="002910C2" w:rsidR="00CE0CC8">
        <w:rPr>
          <w:rFonts w:ascii="Times New Roman" w:hAnsi="Times New Roman" w:cs="Times New Roman"/>
          <w:sz w:val="24"/>
          <w:szCs w:val="24"/>
        </w:rPr>
        <w:t>relationship</w:t>
      </w:r>
      <w:r w:rsidRPr="002910C2">
        <w:rPr>
          <w:rFonts w:ascii="Times New Roman" w:hAnsi="Times New Roman" w:cs="Times New Roman"/>
          <w:sz w:val="24"/>
          <w:szCs w:val="24"/>
        </w:rPr>
        <w:t xml:space="preserve"> between unemployment and inflation. Unemployment is the situation whereby workers who are willing and capable of doing work are unable to secure jobs, and this implies lower economic output. Unemployment occurs as a result of a long-term decline in demand in an industry-leading to fewer jobs. Foreign competition and globalization have led to changes in patterns of trade in the country (Albanesi &amp; Şahin, 2018). Inflation </w:t>
      </w:r>
      <w:r w:rsidR="00CE0CC8">
        <w:rPr>
          <w:rFonts w:ascii="Times New Roman" w:hAnsi="Times New Roman" w:cs="Times New Roman"/>
          <w:sz w:val="24"/>
          <w:szCs w:val="24"/>
        </w:rPr>
        <w:t xml:space="preserve">is </w:t>
      </w:r>
      <w:r w:rsidRPr="002910C2">
        <w:rPr>
          <w:rFonts w:ascii="Times New Roman" w:hAnsi="Times New Roman" w:cs="Times New Roman"/>
          <w:sz w:val="24"/>
          <w:szCs w:val="24"/>
        </w:rPr>
        <w:t xml:space="preserve">the quantitative measure of the rate at which the average price level of basket goods and services in an economy increases </w:t>
      </w:r>
      <w:r w:rsidR="00CE0CC8">
        <w:rPr>
          <w:rFonts w:ascii="Times New Roman" w:hAnsi="Times New Roman" w:cs="Times New Roman"/>
          <w:sz w:val="24"/>
          <w:szCs w:val="24"/>
        </w:rPr>
        <w:t>with</w:t>
      </w:r>
      <w:r w:rsidRPr="002910C2">
        <w:rPr>
          <w:rFonts w:ascii="Times New Roman" w:hAnsi="Times New Roman" w:cs="Times New Roman"/>
          <w:sz w:val="24"/>
          <w:szCs w:val="24"/>
        </w:rPr>
        <w:t xml:space="preserve"> time (Gerlach, Lydon, &amp; Stuart, 2016). The main </w:t>
      </w:r>
      <w:r w:rsidRPr="002910C2" w:rsidR="00CE0CC8">
        <w:rPr>
          <w:rFonts w:ascii="Times New Roman" w:hAnsi="Times New Roman" w:cs="Times New Roman"/>
          <w:sz w:val="24"/>
          <w:szCs w:val="24"/>
        </w:rPr>
        <w:t>reasons</w:t>
      </w:r>
      <w:r w:rsidRPr="002910C2">
        <w:rPr>
          <w:rFonts w:ascii="Times New Roman" w:hAnsi="Times New Roman" w:cs="Times New Roman"/>
          <w:sz w:val="24"/>
          <w:szCs w:val="24"/>
        </w:rPr>
        <w:t xml:space="preserve"> </w:t>
      </w:r>
      <w:r w:rsidR="00CE0CC8">
        <w:rPr>
          <w:rFonts w:ascii="Times New Roman" w:hAnsi="Times New Roman" w:cs="Times New Roman"/>
          <w:sz w:val="24"/>
          <w:szCs w:val="24"/>
        </w:rPr>
        <w:t>for</w:t>
      </w:r>
      <w:r w:rsidRPr="002910C2">
        <w:rPr>
          <w:rFonts w:ascii="Times New Roman" w:hAnsi="Times New Roman" w:cs="Times New Roman"/>
          <w:sz w:val="24"/>
          <w:szCs w:val="24"/>
        </w:rPr>
        <w:t xml:space="preserve"> inflation </w:t>
      </w:r>
      <w:r w:rsidR="00CE0CC8">
        <w:rPr>
          <w:rFonts w:ascii="Times New Roman" w:hAnsi="Times New Roman" w:cs="Times New Roman"/>
          <w:sz w:val="24"/>
          <w:szCs w:val="24"/>
        </w:rPr>
        <w:t>are</w:t>
      </w:r>
      <w:r w:rsidRPr="002910C2">
        <w:rPr>
          <w:rFonts w:ascii="Times New Roman" w:hAnsi="Times New Roman" w:cs="Times New Roman"/>
          <w:sz w:val="24"/>
          <w:szCs w:val="24"/>
        </w:rPr>
        <w:t xml:space="preserve"> demand-pull and cost-push, which are responsible for the general increase in prices in an economy. There exists a stronger correlation between Gross Domestic Product (GDP) with unemployment and inflation rate as well. According to Okun’s Law, </w:t>
      </w:r>
      <w:r w:rsidR="00CE0CC8">
        <w:rPr>
          <w:rFonts w:ascii="Times New Roman" w:hAnsi="Times New Roman" w:cs="Times New Roman"/>
          <w:sz w:val="24"/>
          <w:szCs w:val="24"/>
        </w:rPr>
        <w:t>about</w:t>
      </w:r>
      <w:r w:rsidRPr="002910C2">
        <w:rPr>
          <w:rFonts w:ascii="Times New Roman" w:hAnsi="Times New Roman" w:cs="Times New Roman"/>
          <w:sz w:val="24"/>
          <w:szCs w:val="24"/>
        </w:rPr>
        <w:t xml:space="preserve"> 1% </w:t>
      </w:r>
      <w:r w:rsidR="00CE0CC8">
        <w:rPr>
          <w:rFonts w:ascii="Times New Roman" w:hAnsi="Times New Roman" w:cs="Times New Roman"/>
          <w:sz w:val="24"/>
          <w:szCs w:val="24"/>
        </w:rPr>
        <w:t>decline</w:t>
      </w:r>
      <w:r w:rsidRPr="002910C2">
        <w:rPr>
          <w:rFonts w:ascii="Times New Roman" w:hAnsi="Times New Roman" w:cs="Times New Roman"/>
          <w:sz w:val="24"/>
          <w:szCs w:val="24"/>
        </w:rPr>
        <w:t xml:space="preserve"> in GDP is affiliated with less than a 2% increase in the</w:t>
      </w:r>
      <w:r w:rsidR="00CE0CC8">
        <w:rPr>
          <w:rFonts w:ascii="Times New Roman" w:hAnsi="Times New Roman" w:cs="Times New Roman"/>
          <w:sz w:val="24"/>
          <w:szCs w:val="24"/>
        </w:rPr>
        <w:t xml:space="preserve"> rate of</w:t>
      </w:r>
      <w:r w:rsidRPr="002910C2">
        <w:rPr>
          <w:rFonts w:ascii="Times New Roman" w:hAnsi="Times New Roman" w:cs="Times New Roman"/>
          <w:sz w:val="24"/>
          <w:szCs w:val="24"/>
        </w:rPr>
        <w:t xml:space="preserve"> unemployment. Increased unemployment leads to low income, low savings, and hence decline in the nation’s GDP (Albanesi &amp; Şahin, 2018). </w:t>
      </w:r>
    </w:p>
    <w:p xmlns:wp14="http://schemas.microsoft.com/office/word/2010/wordml" w:rsidRPr="002910C2" w:rsidR="00F77418" w:rsidP="002910C2" w:rsidRDefault="00F77418" w14:paraId="7E872303" wp14:textId="77777777">
      <w:pPr>
        <w:spacing w:line="480" w:lineRule="auto"/>
        <w:ind w:firstLine="720"/>
        <w:rPr>
          <w:rFonts w:ascii="Times New Roman" w:hAnsi="Times New Roman" w:cs="Times New Roman"/>
          <w:sz w:val="24"/>
          <w:szCs w:val="24"/>
        </w:rPr>
      </w:pPr>
      <w:r w:rsidRPr="002910C2">
        <w:rPr>
          <w:rFonts w:ascii="Times New Roman" w:hAnsi="Times New Roman" w:cs="Times New Roman"/>
          <w:sz w:val="24"/>
          <w:szCs w:val="24"/>
        </w:rPr>
        <w:t xml:space="preserve">On the contrary, an increase in inflation leads to the decline purchasing power of money, and hence leading to reduced consumption, and then GDP declines. Reduced inflation rate increases the purchasing power of money; thus, customers are able to spend more freely, and hence, savers are really assured of a real return of their money (Higgins, 2018). Higher wages </w:t>
      </w:r>
      <w:r w:rsidRPr="002910C2">
        <w:rPr>
          <w:rFonts w:ascii="Times New Roman" w:hAnsi="Times New Roman" w:cs="Times New Roman"/>
          <w:sz w:val="24"/>
          <w:szCs w:val="24"/>
        </w:rPr>
        <w:lastRenderedPageBreak/>
        <w:t>increase customer’s purchasing power leading to an increase in GDP while low wages lead to reduced consumer’s willingness to spend leading to the deterioration of the GDP. Overall, when inflation heightens, labor supply increases in the short run due to the higher wages, causing an increase in the unemployment rate, which again reducing chances for economic growth (Albanesi &amp; Şahin, 2018). The purpose of this study is to address the current unemployment and inflation issues, such as unemployment rates among your college graduates and low labor supply in certain industries. They are important to study and resolve because they are key factors toward economic growth.</w:t>
      </w:r>
    </w:p>
    <w:p xmlns:wp14="http://schemas.microsoft.com/office/word/2010/wordml" w:rsidRPr="002910C2" w:rsidR="00F77418" w:rsidP="002910C2" w:rsidRDefault="00F77418" w14:paraId="51A59785" wp14:textId="77777777">
      <w:pPr>
        <w:spacing w:line="480" w:lineRule="auto"/>
        <w:jc w:val="center"/>
        <w:rPr>
          <w:rFonts w:ascii="Times New Roman" w:hAnsi="Times New Roman" w:cs="Times New Roman"/>
          <w:b/>
          <w:sz w:val="24"/>
          <w:szCs w:val="24"/>
        </w:rPr>
      </w:pPr>
      <w:r w:rsidRPr="002910C2">
        <w:rPr>
          <w:rFonts w:ascii="Times New Roman" w:hAnsi="Times New Roman" w:cs="Times New Roman"/>
          <w:b/>
          <w:sz w:val="24"/>
          <w:szCs w:val="24"/>
        </w:rPr>
        <w:t>Data</w:t>
      </w:r>
    </w:p>
    <w:p xmlns:wp14="http://schemas.microsoft.com/office/word/2010/wordml" w:rsidRPr="002910C2" w:rsidR="00EE435E" w:rsidP="6CAD948A" w:rsidRDefault="00310590" w14:paraId="2C092E4A" wp14:textId="63724D36">
      <w:pPr>
        <w:tabs>
          <w:tab w:val="left" w:pos="1245"/>
        </w:tabs>
        <w:spacing w:line="480" w:lineRule="auto"/>
        <w:ind w:firstLine="720"/>
        <w:rPr>
          <w:rFonts w:ascii="Times New Roman" w:hAnsi="Times New Roman" w:cs="Times New Roman"/>
          <w:sz w:val="24"/>
          <w:szCs w:val="24"/>
        </w:rPr>
      </w:pPr>
      <w:r w:rsidRPr="6CAD948A" w:rsidR="6CAD948A">
        <w:rPr>
          <w:rFonts w:ascii="Times New Roman" w:hAnsi="Times New Roman" w:cs="Times New Roman"/>
          <w:sz w:val="24"/>
          <w:szCs w:val="24"/>
        </w:rPr>
        <w:t>The USA unemployment rate measures the percentage of the total employees in the United States that are of the labor force but are without a job. Historically, the US unemployment rates reached 10.8% in the year 1982 (</w:t>
      </w:r>
      <w:proofErr w:type="spellStart"/>
      <w:r w:rsidRPr="6CAD948A" w:rsidR="6CAD948A">
        <w:rPr>
          <w:rFonts w:ascii="Times New Roman" w:hAnsi="Times New Roman" w:cs="Times New Roman"/>
          <w:sz w:val="24"/>
          <w:szCs w:val="24"/>
        </w:rPr>
        <w:t>Albanesi</w:t>
      </w:r>
      <w:proofErr w:type="spellEnd"/>
      <w:r w:rsidRPr="6CAD948A" w:rsidR="6CAD948A">
        <w:rPr>
          <w:rFonts w:ascii="Times New Roman" w:hAnsi="Times New Roman" w:cs="Times New Roman"/>
          <w:sz w:val="24"/>
          <w:szCs w:val="24"/>
        </w:rPr>
        <w:t xml:space="preserve"> &amp; </w:t>
      </w:r>
      <w:proofErr w:type="spellStart"/>
      <w:r w:rsidRPr="6CAD948A" w:rsidR="6CAD948A">
        <w:rPr>
          <w:rFonts w:ascii="Times New Roman" w:hAnsi="Times New Roman" w:cs="Times New Roman"/>
          <w:sz w:val="24"/>
          <w:szCs w:val="24"/>
        </w:rPr>
        <w:t>Şahin</w:t>
      </w:r>
      <w:proofErr w:type="spellEnd"/>
      <w:r w:rsidRPr="6CAD948A" w:rsidR="6CAD948A">
        <w:rPr>
          <w:rFonts w:ascii="Times New Roman" w:hAnsi="Times New Roman" w:cs="Times New Roman"/>
          <w:sz w:val="24"/>
          <w:szCs w:val="24"/>
        </w:rPr>
        <w:t>, 2018). Over the last ten years, US unemployment has had tremendous chanced, which have had a lot of impacts in economic growth (Higgins, 2018). According to the current statistics, the US unemployment rates increased to 3.60% in Oct 2019, from the previously recorded number 3.50% in September 2019. The graph below illustrated the trend in US unemployment rates over the past ten years.</w:t>
      </w:r>
      <w:r w:rsidRPr="002910C2">
        <w:rPr>
          <w:rFonts w:ascii="Times New Roman" w:hAnsi="Times New Roman" w:cs="Times New Roman"/>
          <w:noProof/>
          <w:sz w:val="24"/>
          <w:szCs w:val="24"/>
        </w:rPr>
        <w:lastRenderedPageBreak/>
        <w:drawing>
          <wp:inline xmlns:wp14="http://schemas.microsoft.com/office/word/2010/wordprocessingDrawing" distT="0" distB="0" distL="0" distR="0" wp14:anchorId="411A0836" wp14:editId="7777777">
            <wp:extent cx="5486400" cy="32004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xmlns:wp14="http://schemas.microsoft.com/office/word/2010/wordml" w:rsidRPr="002910C2" w:rsidR="00EE435E" w:rsidP="6CAD948A" w:rsidRDefault="00310590" w14:paraId="1F17884E" wp14:textId="54440C11">
      <w:pPr>
        <w:tabs>
          <w:tab w:val="left" w:pos="1245"/>
        </w:tabs>
        <w:spacing w:line="480" w:lineRule="auto"/>
        <w:ind w:firstLine="0"/>
        <w:rPr>
          <w:rFonts w:ascii="Times New Roman" w:hAnsi="Times New Roman" w:cs="Times New Roman"/>
          <w:sz w:val="24"/>
          <w:szCs w:val="24"/>
        </w:rPr>
      </w:pPr>
      <w:r w:rsidRPr="6CAD948A" w:rsidR="6CAD948A">
        <w:rPr>
          <w:rFonts w:ascii="Times New Roman" w:hAnsi="Times New Roman" w:cs="Times New Roman"/>
          <w:sz w:val="24"/>
          <w:szCs w:val="24"/>
        </w:rPr>
        <w:t>Fig 1</w:t>
      </w:r>
    </w:p>
    <w:p xmlns:wp14="http://schemas.microsoft.com/office/word/2010/wordml" w:rsidRPr="002910C2" w:rsidR="00EE435E" w:rsidP="6CAD948A" w:rsidRDefault="00310590" w14:paraId="2118B087" wp14:textId="0016A707">
      <w:pPr>
        <w:tabs>
          <w:tab w:val="left" w:pos="1245"/>
        </w:tabs>
        <w:spacing w:line="480" w:lineRule="auto"/>
        <w:ind/>
      </w:pPr>
      <w:r>
        <w:br w:type="page"/>
      </w:r>
    </w:p>
    <w:p xmlns:wp14="http://schemas.microsoft.com/office/word/2010/wordml" w:rsidRPr="002910C2" w:rsidR="00F77418" w:rsidP="6CAD948A" w:rsidRDefault="00F77418" w14:paraId="3656B9AB" wp14:textId="21CAE5FD">
      <w:pPr>
        <w:spacing w:line="480" w:lineRule="auto"/>
        <w:ind w:firstLine="720"/>
        <w:rPr>
          <w:rFonts w:ascii="Times New Roman" w:hAnsi="Times New Roman" w:cs="Times New Roman"/>
          <w:sz w:val="24"/>
          <w:szCs w:val="24"/>
        </w:rPr>
      </w:pPr>
      <w:r w:rsidRPr="6CAD948A" w:rsidR="6CAD948A">
        <w:rPr>
          <w:rFonts w:ascii="Times New Roman" w:hAnsi="Times New Roman" w:cs="Times New Roman"/>
          <w:sz w:val="24"/>
          <w:szCs w:val="24"/>
        </w:rPr>
        <w:t>According to the US Labor Department (2019), the annual inflation rate for the United States is 1.8% for the last 12 months ended in October 2019, in comparison with 1.7% previously. The chart below illustrates the annual US inflation rates from 2009 to 2019.</w:t>
      </w:r>
    </w:p>
    <w:p xmlns:wp14="http://schemas.microsoft.com/office/word/2010/wordml" w:rsidRPr="002910C2" w:rsidR="00A652E5" w:rsidP="002910C2" w:rsidRDefault="00A652E5" w14:paraId="5A0A1D06" wp14:textId="77777777">
      <w:pPr>
        <w:spacing w:line="480" w:lineRule="auto"/>
        <w:rPr>
          <w:rFonts w:ascii="Times New Roman" w:hAnsi="Times New Roman" w:cs="Times New Roman"/>
          <w:sz w:val="24"/>
          <w:szCs w:val="24"/>
        </w:rPr>
      </w:pPr>
      <w:r w:rsidRPr="002910C2">
        <w:rPr>
          <w:rFonts w:ascii="Times New Roman" w:hAnsi="Times New Roman" w:cs="Times New Roman"/>
          <w:noProof/>
          <w:sz w:val="24"/>
          <w:szCs w:val="24"/>
        </w:rPr>
        <w:lastRenderedPageBreak/>
        <w:drawing>
          <wp:anchor xmlns:wp14="http://schemas.microsoft.com/office/word/2010/wordprocessingDrawing" distT="0" distB="0" distL="114300" distR="114300" simplePos="0" relativeHeight="251659264" behindDoc="0" locked="0" layoutInCell="1" allowOverlap="1" wp14:anchorId="1199AE3D" wp14:editId="7777777">
            <wp:simplePos x="914400" y="1571625"/>
            <wp:positionH relativeFrom="column">
              <wp:align>left</wp:align>
            </wp:positionH>
            <wp:positionV relativeFrom="paragraph">
              <wp:align>top</wp:align>
            </wp:positionV>
            <wp:extent cx="5486400" cy="3200400"/>
            <wp:effectExtent l="0" t="0" r="0" b="0"/>
            <wp:wrapSquare wrapText="bothSides"/>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xmlns:wp14="http://schemas.microsoft.com/office/word/2010/wordml" w:rsidR="008E5067" w:rsidP="6CAD948A" w:rsidRDefault="008E5067" w14:paraId="00BFB234" wp14:textId="4E5BC54C">
      <w:pPr>
        <w:pStyle w:val="Normal"/>
        <w:spacing w:line="480" w:lineRule="auto"/>
        <w:ind/>
        <w:rPr>
          <w:rFonts w:ascii="Times New Roman" w:hAnsi="Times New Roman" w:cs="Times New Roman"/>
          <w:sz w:val="24"/>
          <w:szCs w:val="24"/>
        </w:rPr>
      </w:pPr>
      <w:r w:rsidRPr="6CAD948A" w:rsidR="6CAD948A">
        <w:rPr>
          <w:rFonts w:ascii="Times New Roman" w:hAnsi="Times New Roman" w:cs="Times New Roman"/>
          <w:sz w:val="24"/>
          <w:szCs w:val="24"/>
        </w:rPr>
        <w:t>Fig 2</w:t>
      </w:r>
    </w:p>
    <w:p xmlns:wp14="http://schemas.microsoft.com/office/word/2010/wordml" w:rsidRPr="002910C2" w:rsidR="00F77418" w:rsidP="002910C2" w:rsidRDefault="00F77418" w14:paraId="2C2FAD9C" wp14:textId="77777777">
      <w:pPr>
        <w:spacing w:line="480" w:lineRule="auto"/>
        <w:ind w:firstLine="720"/>
        <w:rPr>
          <w:rFonts w:ascii="Times New Roman" w:hAnsi="Times New Roman" w:cs="Times New Roman"/>
          <w:sz w:val="24"/>
          <w:szCs w:val="24"/>
        </w:rPr>
      </w:pPr>
      <w:r w:rsidRPr="002910C2">
        <w:rPr>
          <w:rFonts w:ascii="Times New Roman" w:hAnsi="Times New Roman" w:cs="Times New Roman"/>
          <w:sz w:val="24"/>
          <w:szCs w:val="24"/>
        </w:rPr>
        <w:t>According to the Bureau of Labor Statistics (BLS), the current median wages for workers in the United States in the first quarter of 2019 were $905 per week or $47, 060 per year for a 40-hour workweek. Wages were 2.7% higher than on the same date for the previous year.</w:t>
      </w:r>
    </w:p>
    <w:p xmlns:wp14="http://schemas.microsoft.com/office/word/2010/wordml" w:rsidR="008E5067" w:rsidP="6CAD948A" w:rsidRDefault="00A347A9" w14:paraId="45DEF218" wp14:textId="774E967A">
      <w:pPr>
        <w:spacing w:line="480" w:lineRule="auto"/>
        <w:ind w:firstLine="720"/>
        <w:rPr>
          <w:rFonts w:ascii="Times New Roman" w:hAnsi="Times New Roman" w:cs="Times New Roman"/>
          <w:sz w:val="24"/>
          <w:szCs w:val="24"/>
        </w:rPr>
      </w:pPr>
      <w:r w:rsidRPr="6CAD948A" w:rsidR="6CAD948A">
        <w:rPr>
          <w:rFonts w:ascii="Times New Roman" w:hAnsi="Times New Roman" w:cs="Times New Roman"/>
          <w:sz w:val="24"/>
          <w:szCs w:val="24"/>
        </w:rPr>
        <w:t>The US Real Gross Domestic Product is computed as the yearly changes in the GDP in the United States as adjusted for inflation or deflation in relation to the US dollar value (Higgins, 2018). Over the last ten years, the US real GDP has had tremendous fluctuations recording 2.9 % in 2018. The table below illustrates facts on changes in the US real GDP in relation to the US dollar value:</w:t>
      </w:r>
      <w:r w:rsidRPr="002910C2">
        <w:rPr>
          <w:rFonts w:ascii="Times New Roman" w:hAnsi="Times New Roman" w:cs="Times New Roman"/>
          <w:noProof/>
          <w:sz w:val="24"/>
          <w:szCs w:val="24"/>
        </w:rPr>
        <w:lastRenderedPageBreak/>
        <w:drawing>
          <wp:inline xmlns:wp14="http://schemas.microsoft.com/office/word/2010/wordprocessingDrawing" distT="0" distB="0" distL="0" distR="0" wp14:anchorId="5FB743D5" wp14:editId="7777777">
            <wp:extent cx="5486400" cy="32004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xmlns:wp14="http://schemas.microsoft.com/office/word/2010/wordml" w:rsidR="008E5067" w:rsidP="6CAD948A" w:rsidRDefault="00A347A9" w14:paraId="73EDBC05" wp14:textId="49ADCEC1">
      <w:pPr>
        <w:spacing w:line="480" w:lineRule="auto"/>
        <w:ind w:firstLine="0"/>
        <w:rPr>
          <w:rStyle w:val="Strong"/>
          <w:rFonts w:ascii="Times New Roman" w:hAnsi="Times New Roman" w:cs="Times New Roman"/>
          <w:color w:val="1C1E29"/>
          <w:sz w:val="24"/>
          <w:szCs w:val="24"/>
        </w:rPr>
      </w:pPr>
      <w:r w:rsidRPr="6CAD948A" w:rsidR="6CAD948A">
        <w:rPr>
          <w:rFonts w:ascii="Times New Roman" w:hAnsi="Times New Roman" w:cs="Times New Roman"/>
          <w:sz w:val="24"/>
          <w:szCs w:val="24"/>
        </w:rPr>
        <w:t>Fig 3</w:t>
      </w:r>
    </w:p>
    <w:p xmlns:wp14="http://schemas.microsoft.com/office/word/2010/wordml" w:rsidR="008E5067" w:rsidP="6CAD948A" w:rsidRDefault="00A347A9" w14:paraId="7E7F37E4" wp14:textId="1A71F92D">
      <w:pPr>
        <w:pStyle w:val="Normal"/>
        <w:spacing w:line="480" w:lineRule="auto"/>
        <w:ind w:firstLine="0"/>
        <w:rPr>
          <w:rStyle w:val="Strong"/>
          <w:rFonts w:ascii="Times New Roman" w:hAnsi="Times New Roman" w:cs="Times New Roman"/>
          <w:color w:val="1C1E29"/>
          <w:sz w:val="24"/>
          <w:szCs w:val="24"/>
        </w:rPr>
      </w:pPr>
      <w:r w:rsidRPr="6CAD948A" w:rsidR="6CAD948A">
        <w:rPr>
          <w:rFonts w:ascii="Times New Roman" w:hAnsi="Times New Roman" w:cs="Times New Roman"/>
          <w:sz w:val="24"/>
          <w:szCs w:val="24"/>
        </w:rPr>
        <w:t xml:space="preserve">                 According to the Labor Department, the median weekly earnings show a systematic increase at a changing rate when inflation is adjusted in dollars. Current statistics show that the labor market has stabilized. The report by the Labor Department shows that the wages went up at a bigger margin (Higgins, 2018). The chart below illustrates the median usual weekly earnings of full-time wage and salary workers by sex 2005 to 2019.</w:t>
      </w:r>
    </w:p>
    <w:p xmlns:wp14="http://schemas.microsoft.com/office/word/2010/wordml" w:rsidRPr="002910C2" w:rsidR="00420936" w:rsidP="6CAD948A" w:rsidRDefault="00F3613E" w14:paraId="675F7679" wp14:textId="26092ECA">
      <w:pPr>
        <w:spacing w:line="480" w:lineRule="auto"/>
        <w:ind w:left="0"/>
        <w:rPr>
          <w:rFonts w:ascii="Times New Roman" w:hAnsi="Times New Roman" w:eastAsia="Calibri" w:cs="Times New Roman"/>
          <w:sz w:val="24"/>
          <w:szCs w:val="24"/>
        </w:rPr>
      </w:pPr>
      <w:r w:rsidRPr="002910C2">
        <w:rPr>
          <w:rFonts w:ascii="Times New Roman" w:hAnsi="Times New Roman" w:cs="Times New Roman"/>
          <w:noProof/>
          <w:sz w:val="24"/>
          <w:szCs w:val="24"/>
        </w:rPr>
        <w:lastRenderedPageBreak/>
        <w:drawing>
          <wp:anchor xmlns:wp14="http://schemas.microsoft.com/office/word/2010/wordprocessingDrawing" distT="0" distB="0" distL="114300" distR="114300" simplePos="0" relativeHeight="251658240" behindDoc="0" locked="0" layoutInCell="1" allowOverlap="1" wp14:anchorId="0E7EFF22" wp14:editId="7777777">
            <wp:simplePos x="914400" y="914400"/>
            <wp:positionH relativeFrom="column">
              <wp:align>left</wp:align>
            </wp:positionH>
            <wp:positionV relativeFrom="paragraph">
              <wp:align>top</wp:align>
            </wp:positionV>
            <wp:extent cx="5486400" cy="3200400"/>
            <wp:effectExtent l="0" t="0" r="0" b="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6CAD948A" w:rsidR="6CAD948A">
        <w:rPr>
          <w:rFonts w:ascii="Times New Roman" w:hAnsi="Times New Roman" w:eastAsia="Calibri" w:cs="Times New Roman"/>
          <w:sz w:val="24"/>
          <w:szCs w:val="24"/>
        </w:rPr>
        <w:t/>
      </w:r>
    </w:p>
    <w:p xmlns:wp14="http://schemas.microsoft.com/office/word/2010/wordml" w:rsidRPr="002910C2" w:rsidR="00420936" w:rsidP="6CAD948A" w:rsidRDefault="00F3613E" w14:paraId="7FD7C24E" wp14:textId="67048184">
      <w:pPr>
        <w:pStyle w:val="Normal"/>
        <w:spacing w:line="480" w:lineRule="auto"/>
        <w:ind w:left="0"/>
        <w:rPr>
          <w:rFonts w:ascii="Times New Roman" w:hAnsi="Times New Roman" w:eastAsia="Calibri" w:cs="Times New Roman"/>
          <w:sz w:val="24"/>
          <w:szCs w:val="24"/>
        </w:rPr>
      </w:pPr>
      <w:r w:rsidRPr="6CAD948A" w:rsidR="6CAD948A">
        <w:rPr>
          <w:rFonts w:ascii="Times New Roman" w:hAnsi="Times New Roman" w:eastAsia="Calibri" w:cs="Times New Roman"/>
          <w:sz w:val="24"/>
          <w:szCs w:val="24"/>
        </w:rPr>
        <w:t>Fig 4</w:t>
      </w:r>
    </w:p>
    <w:p xmlns:wp14="http://schemas.microsoft.com/office/word/2010/wordml" w:rsidRPr="00CE0CC8" w:rsidR="00F77418" w:rsidP="002910C2" w:rsidRDefault="00F77418" w14:paraId="3B711DFF" wp14:textId="77777777">
      <w:pPr>
        <w:spacing w:line="480" w:lineRule="auto"/>
        <w:jc w:val="center"/>
        <w:rPr>
          <w:rFonts w:ascii="Times New Roman" w:hAnsi="Times New Roman" w:eastAsia="Calibri" w:cs="Times New Roman"/>
          <w:b/>
          <w:i/>
          <w:sz w:val="24"/>
          <w:szCs w:val="24"/>
        </w:rPr>
      </w:pPr>
      <w:r w:rsidRPr="00CE0CC8">
        <w:rPr>
          <w:rFonts w:ascii="Times New Roman" w:hAnsi="Times New Roman" w:eastAsia="Calibri" w:cs="Times New Roman"/>
          <w:b/>
          <w:i/>
          <w:sz w:val="24"/>
          <w:szCs w:val="24"/>
        </w:rPr>
        <w:t>Unemployment Rates among Young College Graduates</w:t>
      </w:r>
    </w:p>
    <w:p xmlns:wp14="http://schemas.microsoft.com/office/word/2010/wordml" w:rsidRPr="00837C16" w:rsidR="00837C16" w:rsidP="6CAD948A" w:rsidRDefault="00837C16" w14:paraId="19FF3DEF" wp14:textId="5DD7A9B2">
      <w:pPr>
        <w:spacing w:line="480" w:lineRule="auto"/>
        <w:ind/>
        <w:jc w:val="center"/>
        <w:rPr>
          <w:rFonts w:ascii="Times New Roman" w:hAnsi="Times New Roman" w:eastAsia="Calibri" w:cs="Times New Roman"/>
          <w:sz w:val="24"/>
          <w:szCs w:val="24"/>
        </w:rPr>
      </w:pPr>
      <w:r w:rsidRPr="6CAD948A" w:rsidR="6CAD948A">
        <w:rPr>
          <w:rFonts w:ascii="Times New Roman" w:hAnsi="Times New Roman" w:eastAsia="Calibri" w:cs="Times New Roman"/>
          <w:sz w:val="24"/>
          <w:szCs w:val="24"/>
        </w:rPr>
        <w:t>According to the BLS, unemployment rates among your college graduates remain a rampant issue challenging economic development. In August 2018, there was an unemployment rate of 2.1% for college graduates and 3.9% unemployment rates for high school graduates.</w:t>
      </w:r>
      <w:r>
        <w:drawing>
          <wp:inline xmlns:wp14="http://schemas.microsoft.com/office/word/2010/wordprocessingDrawing" wp14:editId="6F7E3FCE" wp14:anchorId="6812F817">
            <wp:extent cx="5888530" cy="2798969"/>
            <wp:effectExtent l="0" t="0" r="0" b="0"/>
            <wp:docPr id="935859169" name="Picture 2" title=""/>
            <wp:cNvGraphicFramePr>
              <a:graphicFrameLocks noChangeAspect="1"/>
            </wp:cNvGraphicFramePr>
            <a:graphic>
              <a:graphicData uri="http://schemas.openxmlformats.org/drawingml/2006/picture">
                <pic:pic>
                  <pic:nvPicPr>
                    <pic:cNvPr id="0" name="Picture 2"/>
                    <pic:cNvPicPr/>
                  </pic:nvPicPr>
                  <pic:blipFill>
                    <a:blip r:embed="R7c908e11848849c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888530" cy="2798969"/>
                    </a:xfrm>
                    <a:prstGeom prst="rect">
                      <a:avLst/>
                    </a:prstGeom>
                  </pic:spPr>
                </pic:pic>
              </a:graphicData>
            </a:graphic>
          </wp:inline>
        </w:drawing>
      </w:r>
      <w:r w:rsidRPr="6CAD948A" w:rsidR="6CAD948A">
        <w:rPr>
          <w:rFonts w:ascii="Times New Roman" w:hAnsi="Times New Roman" w:eastAsia="Calibri" w:cs="Times New Roman"/>
          <w:sz w:val="24"/>
          <w:szCs w:val="24"/>
        </w:rPr>
        <w:t>Fig 5</w:t>
      </w:r>
    </w:p>
    <w:p xmlns:wp14="http://schemas.microsoft.com/office/word/2010/wordml" w:rsidRPr="00CE0CC8" w:rsidR="000F3C8E" w:rsidP="002910C2" w:rsidRDefault="000F3C8E" w14:paraId="74334AF8" wp14:textId="77777777">
      <w:pPr>
        <w:spacing w:line="480" w:lineRule="auto"/>
        <w:jc w:val="center"/>
        <w:rPr>
          <w:rFonts w:ascii="Times New Roman" w:hAnsi="Times New Roman" w:cs="Times New Roman"/>
          <w:b/>
          <w:i/>
          <w:sz w:val="24"/>
          <w:szCs w:val="24"/>
        </w:rPr>
      </w:pPr>
      <w:r w:rsidRPr="00CE0CC8">
        <w:rPr>
          <w:rFonts w:ascii="Times New Roman" w:hAnsi="Times New Roman" w:eastAsia="Calibri" w:cs="Times New Roman"/>
          <w:b/>
          <w:i/>
          <w:sz w:val="24"/>
          <w:szCs w:val="24"/>
        </w:rPr>
        <w:t xml:space="preserve">Unemployment </w:t>
      </w:r>
      <w:r w:rsidRPr="00CE0CC8" w:rsidR="00D002BF">
        <w:rPr>
          <w:rFonts w:ascii="Times New Roman" w:hAnsi="Times New Roman" w:eastAsia="Calibri" w:cs="Times New Roman"/>
          <w:b/>
          <w:i/>
          <w:sz w:val="24"/>
          <w:szCs w:val="24"/>
        </w:rPr>
        <w:t>Rates by G</w:t>
      </w:r>
      <w:r w:rsidRPr="00CE0CC8">
        <w:rPr>
          <w:rFonts w:ascii="Times New Roman" w:hAnsi="Times New Roman" w:eastAsia="Calibri" w:cs="Times New Roman"/>
          <w:b/>
          <w:i/>
          <w:sz w:val="24"/>
          <w:szCs w:val="24"/>
        </w:rPr>
        <w:t>ender</w:t>
      </w:r>
    </w:p>
    <w:p xmlns:wp14="http://schemas.microsoft.com/office/word/2010/wordml" w:rsidRPr="002910C2" w:rsidR="00F77418" w:rsidP="002910C2" w:rsidRDefault="00F77418" w14:paraId="4B529732" wp14:textId="77777777">
      <w:pPr>
        <w:spacing w:line="480" w:lineRule="auto"/>
        <w:ind w:firstLine="720"/>
        <w:rPr>
          <w:rFonts w:ascii="Times New Roman" w:hAnsi="Times New Roman" w:cs="Times New Roman"/>
          <w:sz w:val="24"/>
          <w:szCs w:val="24"/>
        </w:rPr>
      </w:pPr>
      <w:r w:rsidRPr="6CAD948A" w:rsidR="6CAD948A">
        <w:rPr>
          <w:rFonts w:ascii="Times New Roman" w:hAnsi="Times New Roman" w:cs="Times New Roman"/>
          <w:sz w:val="24"/>
          <w:szCs w:val="24"/>
        </w:rPr>
        <w:t xml:space="preserve">The gender unemployment gap has been a persistent aspect in the USA. </w:t>
      </w:r>
      <w:r w:rsidRPr="6CAD948A" w:rsidR="6CAD948A">
        <w:rPr>
          <w:rFonts w:ascii="Times New Roman" w:hAnsi="Times New Roman" w:cs="Times New Roman"/>
          <w:sz w:val="24"/>
          <w:szCs w:val="24"/>
        </w:rPr>
        <w:t>Higgins</w:t>
      </w:r>
      <w:r w:rsidRPr="6CAD948A" w:rsidR="6CAD948A">
        <w:rPr>
          <w:rFonts w:ascii="Times New Roman" w:hAnsi="Times New Roman" w:cs="Times New Roman"/>
          <w:sz w:val="24"/>
          <w:szCs w:val="24"/>
        </w:rPr>
        <w:t xml:space="preserve"> (</w:t>
      </w:r>
      <w:r w:rsidRPr="6CAD948A" w:rsidR="6CAD948A">
        <w:rPr>
          <w:rFonts w:ascii="Times New Roman" w:hAnsi="Times New Roman" w:cs="Times New Roman"/>
          <w:sz w:val="24"/>
          <w:szCs w:val="24"/>
        </w:rPr>
        <w:t>2018)</w:t>
      </w:r>
      <w:r w:rsidRPr="6CAD948A" w:rsidR="6CAD948A">
        <w:rPr>
          <w:rFonts w:ascii="Times New Roman" w:hAnsi="Times New Roman" w:cs="Times New Roman"/>
          <w:sz w:val="24"/>
          <w:szCs w:val="24"/>
        </w:rPr>
        <w:t xml:space="preserve"> asserts that </w:t>
      </w:r>
      <w:r w:rsidRPr="6CAD948A" w:rsidR="6CAD948A">
        <w:rPr>
          <w:rFonts w:ascii="Times New Roman" w:hAnsi="Times New Roman" w:cs="Times New Roman"/>
          <w:sz w:val="24"/>
          <w:szCs w:val="24"/>
        </w:rPr>
        <w:t xml:space="preserve">male </w:t>
      </w:r>
      <w:r w:rsidRPr="6CAD948A" w:rsidR="6CAD948A">
        <w:rPr>
          <w:rFonts w:ascii="Times New Roman" w:hAnsi="Times New Roman" w:cs="Times New Roman"/>
          <w:sz w:val="24"/>
          <w:szCs w:val="24"/>
        </w:rPr>
        <w:t>workers</w:t>
      </w:r>
      <w:r w:rsidRPr="6CAD948A" w:rsidR="6CAD948A">
        <w:rPr>
          <w:rFonts w:ascii="Times New Roman" w:hAnsi="Times New Roman" w:cs="Times New Roman"/>
          <w:sz w:val="24"/>
          <w:szCs w:val="24"/>
        </w:rPr>
        <w:t xml:space="preserve"> </w:t>
      </w:r>
      <w:r w:rsidRPr="6CAD948A" w:rsidR="6CAD948A">
        <w:rPr>
          <w:rFonts w:ascii="Times New Roman" w:hAnsi="Times New Roman" w:cs="Times New Roman"/>
          <w:sz w:val="24"/>
          <w:szCs w:val="24"/>
        </w:rPr>
        <w:t>involvement</w:t>
      </w:r>
      <w:r w:rsidRPr="6CAD948A" w:rsidR="6CAD948A">
        <w:rPr>
          <w:rFonts w:ascii="Times New Roman" w:hAnsi="Times New Roman" w:cs="Times New Roman"/>
          <w:sz w:val="24"/>
          <w:szCs w:val="24"/>
        </w:rPr>
        <w:t xml:space="preserve"> rate reduced </w:t>
      </w:r>
      <w:r w:rsidRPr="6CAD948A" w:rsidR="6CAD948A">
        <w:rPr>
          <w:rFonts w:ascii="Times New Roman" w:hAnsi="Times New Roman" w:cs="Times New Roman"/>
          <w:sz w:val="24"/>
          <w:szCs w:val="24"/>
        </w:rPr>
        <w:t>rapidly</w:t>
      </w:r>
      <w:r w:rsidRPr="6CAD948A" w:rsidR="6CAD948A">
        <w:rPr>
          <w:rFonts w:ascii="Times New Roman" w:hAnsi="Times New Roman" w:cs="Times New Roman"/>
          <w:sz w:val="24"/>
          <w:szCs w:val="24"/>
        </w:rPr>
        <w:t xml:space="preserve"> in the post-war period. After 2009, both </w:t>
      </w:r>
      <w:r w:rsidRPr="6CAD948A" w:rsidR="6CAD948A">
        <w:rPr>
          <w:rFonts w:ascii="Times New Roman" w:hAnsi="Times New Roman" w:cs="Times New Roman"/>
          <w:sz w:val="24"/>
          <w:szCs w:val="24"/>
        </w:rPr>
        <w:t>gender’s</w:t>
      </w:r>
      <w:r w:rsidRPr="6CAD948A" w:rsidR="6CAD948A">
        <w:rPr>
          <w:rFonts w:ascii="Times New Roman" w:hAnsi="Times New Roman" w:cs="Times New Roman"/>
          <w:sz w:val="24"/>
          <w:szCs w:val="24"/>
        </w:rPr>
        <w:t xml:space="preserve"> participation in the labor force </w:t>
      </w:r>
      <w:r w:rsidRPr="6CAD948A" w:rsidR="6CAD948A">
        <w:rPr>
          <w:rFonts w:ascii="Times New Roman" w:hAnsi="Times New Roman" w:cs="Times New Roman"/>
          <w:sz w:val="24"/>
          <w:szCs w:val="24"/>
        </w:rPr>
        <w:t>reduced</w:t>
      </w:r>
      <w:r w:rsidRPr="6CAD948A" w:rsidR="6CAD948A">
        <w:rPr>
          <w:rFonts w:ascii="Times New Roman" w:hAnsi="Times New Roman" w:cs="Times New Roman"/>
          <w:sz w:val="24"/>
          <w:szCs w:val="24"/>
        </w:rPr>
        <w:t xml:space="preserve"> at a similar rate until 2015. According to Albanesi &amp; Şahin (2018), a dramatic decline in female participation in addition to a notable decline in male participation have posed significant change attention to the nations. The rapid increase in the labor force </w:t>
      </w:r>
      <w:r w:rsidRPr="6CAD948A" w:rsidR="6CAD948A">
        <w:rPr>
          <w:rFonts w:ascii="Times New Roman" w:hAnsi="Times New Roman" w:cs="Times New Roman"/>
          <w:sz w:val="24"/>
          <w:szCs w:val="24"/>
        </w:rPr>
        <w:t>involvement</w:t>
      </w:r>
      <w:r w:rsidRPr="6CAD948A" w:rsidR="6CAD948A">
        <w:rPr>
          <w:rFonts w:ascii="Times New Roman" w:hAnsi="Times New Roman" w:cs="Times New Roman"/>
          <w:sz w:val="24"/>
          <w:szCs w:val="24"/>
        </w:rPr>
        <w:t xml:space="preserve"> rate is commonly thought to be affiliated with a rise in </w:t>
      </w:r>
      <w:r w:rsidRPr="6CAD948A" w:rsidR="6CAD948A">
        <w:rPr>
          <w:rFonts w:ascii="Times New Roman" w:hAnsi="Times New Roman" w:cs="Times New Roman"/>
          <w:sz w:val="24"/>
          <w:szCs w:val="24"/>
        </w:rPr>
        <w:t>the unemployment rate because f</w:t>
      </w:r>
      <w:r w:rsidRPr="6CAD948A" w:rsidR="6CAD948A">
        <w:rPr>
          <w:rFonts w:ascii="Times New Roman" w:hAnsi="Times New Roman" w:cs="Times New Roman"/>
          <w:sz w:val="24"/>
          <w:szCs w:val="24"/>
        </w:rPr>
        <w:t xml:space="preserve">ree labor force must seek for an occupation </w:t>
      </w:r>
      <w:r w:rsidRPr="6CAD948A" w:rsidR="6CAD948A">
        <w:rPr>
          <w:rFonts w:ascii="Times New Roman" w:hAnsi="Times New Roman" w:cs="Times New Roman"/>
          <w:sz w:val="24"/>
          <w:szCs w:val="24"/>
        </w:rPr>
        <w:t>(Higgins, 2018). However, an imaginary rise in participation is facilitated by unemployment in the short-run. Studies have pointed out that there is a great correlation betwe</w:t>
      </w:r>
      <w:r w:rsidRPr="6CAD948A" w:rsidR="6CAD948A">
        <w:rPr>
          <w:rFonts w:ascii="Times New Roman" w:hAnsi="Times New Roman" w:cs="Times New Roman"/>
          <w:sz w:val="24"/>
          <w:szCs w:val="24"/>
        </w:rPr>
        <w:t xml:space="preserve">en gender-specific unemployment, </w:t>
      </w:r>
      <w:r w:rsidRPr="6CAD948A" w:rsidR="6CAD948A">
        <w:rPr>
          <w:rFonts w:ascii="Times New Roman" w:hAnsi="Times New Roman" w:cs="Times New Roman"/>
          <w:sz w:val="24"/>
          <w:szCs w:val="24"/>
        </w:rPr>
        <w:t>labor force</w:t>
      </w:r>
      <w:r w:rsidRPr="6CAD948A" w:rsidR="6CAD948A">
        <w:rPr>
          <w:rFonts w:ascii="Times New Roman" w:hAnsi="Times New Roman" w:cs="Times New Roman"/>
          <w:sz w:val="24"/>
          <w:szCs w:val="24"/>
        </w:rPr>
        <w:t xml:space="preserve"> unemployment, </w:t>
      </w:r>
      <w:r w:rsidRPr="6CAD948A" w:rsidR="6CAD948A">
        <w:rPr>
          <w:rFonts w:ascii="Times New Roman" w:hAnsi="Times New Roman" w:cs="Times New Roman"/>
          <w:sz w:val="24"/>
          <w:szCs w:val="24"/>
        </w:rPr>
        <w:t>and labo</w:t>
      </w:r>
      <w:r w:rsidRPr="6CAD948A" w:rsidR="6CAD948A">
        <w:rPr>
          <w:rFonts w:ascii="Times New Roman" w:hAnsi="Times New Roman" w:cs="Times New Roman"/>
          <w:sz w:val="24"/>
          <w:szCs w:val="24"/>
        </w:rPr>
        <w:t xml:space="preserve">r force participation rates in addition to major changes in </w:t>
      </w:r>
      <w:r w:rsidRPr="6CAD948A" w:rsidR="6CAD948A">
        <w:rPr>
          <w:rFonts w:ascii="Times New Roman" w:hAnsi="Times New Roman" w:cs="Times New Roman"/>
          <w:sz w:val="24"/>
          <w:szCs w:val="24"/>
        </w:rPr>
        <w:t>demographics.</w:t>
      </w:r>
    </w:p>
    <w:sectPr w:rsidRPr="002910C2" w:rsidR="00DD712D" w:rsidSect="002910C2">
      <w:headerReference w:type="default" r:id="rId12"/>
      <w:headerReference w:type="first" r:id="rId13"/>
      <w:pgSz w:w="12240" w:h="15840" w:orient="portrait"/>
      <w:pgMar w:top="1440" w:right="1440" w:bottom="1440" w:left="1440" w:header="720" w:footer="720" w:gutter="0"/>
      <w:cols w:space="720"/>
      <w:titlePg/>
      <w:docGrid w:linePitch="360"/>
      <w:footerReference w:type="default" r:id="R4c7643981aa44986"/>
      <w:footerReference w:type="first" r:id="R23e25da5b8fe4f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CE04F1" w:rsidP="00F3613E" w:rsidRDefault="00CE04F1" w14:paraId="6537F28F" wp14:textId="77777777">
      <w:pPr>
        <w:spacing w:after="0" w:line="240" w:lineRule="auto"/>
      </w:pPr>
      <w:r>
        <w:separator/>
      </w:r>
    </w:p>
  </w:endnote>
  <w:endnote w:type="continuationSeparator" w:id="0">
    <w:p xmlns:wp14="http://schemas.microsoft.com/office/word/2010/wordml" w:rsidR="00CE04F1" w:rsidP="00F3613E" w:rsidRDefault="00CE04F1" w14:paraId="6DFB9E20"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CAD948A" w:rsidTr="6CAD948A" w14:paraId="55910699">
      <w:tc>
        <w:tcPr>
          <w:tcW w:w="3120" w:type="dxa"/>
          <w:tcMar/>
        </w:tcPr>
        <w:p w:rsidR="6CAD948A" w:rsidP="6CAD948A" w:rsidRDefault="6CAD948A" w14:paraId="4241DA58" w14:textId="5B13B699">
          <w:pPr>
            <w:pStyle w:val="Header"/>
            <w:bidi w:val="0"/>
            <w:ind w:left="-115"/>
            <w:jc w:val="left"/>
          </w:pPr>
        </w:p>
      </w:tc>
      <w:tc>
        <w:tcPr>
          <w:tcW w:w="3120" w:type="dxa"/>
          <w:tcMar/>
        </w:tcPr>
        <w:p w:rsidR="6CAD948A" w:rsidP="6CAD948A" w:rsidRDefault="6CAD948A" w14:paraId="57565B22" w14:textId="32A852F3">
          <w:pPr>
            <w:pStyle w:val="Header"/>
            <w:bidi w:val="0"/>
            <w:jc w:val="center"/>
          </w:pPr>
        </w:p>
      </w:tc>
      <w:tc>
        <w:tcPr>
          <w:tcW w:w="3120" w:type="dxa"/>
          <w:tcMar/>
        </w:tcPr>
        <w:p w:rsidR="6CAD948A" w:rsidP="6CAD948A" w:rsidRDefault="6CAD948A" w14:paraId="4C96F182" w14:textId="7A4E919B">
          <w:pPr>
            <w:pStyle w:val="Header"/>
            <w:bidi w:val="0"/>
            <w:ind w:right="-115"/>
            <w:jc w:val="right"/>
          </w:pPr>
        </w:p>
      </w:tc>
    </w:tr>
  </w:tbl>
  <w:p w:rsidR="6CAD948A" w:rsidP="6CAD948A" w:rsidRDefault="6CAD948A" w14:paraId="2AF7B73C" w14:textId="5F81FA77">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CAD948A" w:rsidTr="6CAD948A" w14:paraId="0CA23B02">
      <w:tc>
        <w:tcPr>
          <w:tcW w:w="3120" w:type="dxa"/>
          <w:tcMar/>
        </w:tcPr>
        <w:p w:rsidR="6CAD948A" w:rsidP="6CAD948A" w:rsidRDefault="6CAD948A" w14:paraId="0A72CD19" w14:textId="39FE147E">
          <w:pPr>
            <w:pStyle w:val="Header"/>
            <w:bidi w:val="0"/>
            <w:ind w:left="-115"/>
            <w:jc w:val="left"/>
          </w:pPr>
        </w:p>
      </w:tc>
      <w:tc>
        <w:tcPr>
          <w:tcW w:w="3120" w:type="dxa"/>
          <w:tcMar/>
        </w:tcPr>
        <w:p w:rsidR="6CAD948A" w:rsidP="6CAD948A" w:rsidRDefault="6CAD948A" w14:paraId="7ADA45DF" w14:textId="02C99AAA">
          <w:pPr>
            <w:pStyle w:val="Header"/>
            <w:bidi w:val="0"/>
            <w:jc w:val="center"/>
          </w:pPr>
        </w:p>
      </w:tc>
      <w:tc>
        <w:tcPr>
          <w:tcW w:w="3120" w:type="dxa"/>
          <w:tcMar/>
        </w:tcPr>
        <w:p w:rsidR="6CAD948A" w:rsidP="6CAD948A" w:rsidRDefault="6CAD948A" w14:paraId="4413EFCD" w14:textId="0EA2EBD5">
          <w:pPr>
            <w:pStyle w:val="Header"/>
            <w:bidi w:val="0"/>
            <w:ind w:right="-115"/>
            <w:jc w:val="right"/>
          </w:pPr>
        </w:p>
      </w:tc>
    </w:tr>
  </w:tbl>
  <w:p w:rsidR="6CAD948A" w:rsidP="6CAD948A" w:rsidRDefault="6CAD948A" w14:paraId="5BB8A1F4" w14:textId="4CE4F470">
    <w:pPr>
      <w:pStyle w:val="Footer"/>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CE04F1" w:rsidP="00F3613E" w:rsidRDefault="00CE04F1" w14:paraId="70DF9E56" wp14:textId="77777777">
      <w:pPr>
        <w:spacing w:after="0" w:line="240" w:lineRule="auto"/>
      </w:pPr>
      <w:r>
        <w:separator/>
      </w:r>
    </w:p>
  </w:footnote>
  <w:footnote w:type="continuationSeparator" w:id="0">
    <w:p xmlns:wp14="http://schemas.microsoft.com/office/word/2010/wordml" w:rsidR="00CE04F1" w:rsidP="00F3613E" w:rsidRDefault="00CE04F1" w14:paraId="44E871BC"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Pr="002910C2" w:rsidR="002910C2" w:rsidP="002910C2" w:rsidRDefault="002910C2" w14:paraId="78C64BDC" wp14:textId="77777777">
    <w:pPr>
      <w:spacing w:line="480" w:lineRule="auto"/>
      <w:rPr>
        <w:rFonts w:ascii="Times New Roman" w:hAnsi="Times New Roman" w:cs="Times New Roman"/>
        <w:sz w:val="24"/>
        <w:szCs w:val="24"/>
      </w:rPr>
    </w:pPr>
    <w:r w:rsidRPr="002910C2">
      <w:rPr>
        <w:rFonts w:ascii="Times New Roman" w:hAnsi="Times New Roman" w:cs="Times New Roman"/>
        <w:sz w:val="24"/>
        <w:szCs w:val="24"/>
      </w:rPr>
      <w:t>UNEMPLOYMENT AND INFLATION</w:t>
    </w:r>
    <w:r w:rsidRPr="002910C2">
      <w:rPr>
        <w:rFonts w:ascii="Times New Roman" w:hAnsi="Times New Roman" w:cs="Times New Roman"/>
        <w:sz w:val="24"/>
        <w:szCs w:val="24"/>
      </w:rPr>
      <w:tab/>
    </w:r>
    <w:r w:rsidRPr="002910C2">
      <w:rPr>
        <w:rFonts w:ascii="Times New Roman" w:hAnsi="Times New Roman" w:cs="Times New Roman"/>
        <w:sz w:val="24"/>
        <w:szCs w:val="24"/>
      </w:rPr>
      <w:tab/>
    </w:r>
    <w:r w:rsidRPr="002910C2">
      <w:rPr>
        <w:rFonts w:ascii="Times New Roman" w:hAnsi="Times New Roman" w:cs="Times New Roman"/>
        <w:sz w:val="24"/>
        <w:szCs w:val="24"/>
      </w:rPr>
      <w:tab/>
    </w:r>
    <w:r w:rsidRPr="002910C2">
      <w:rPr>
        <w:rFonts w:ascii="Times New Roman" w:hAnsi="Times New Roman" w:cs="Times New Roman"/>
        <w:sz w:val="24"/>
        <w:szCs w:val="24"/>
      </w:rPr>
      <w:tab/>
    </w:r>
    <w:r w:rsidRPr="002910C2">
      <w:rPr>
        <w:rFonts w:ascii="Times New Roman" w:hAnsi="Times New Roman" w:cs="Times New Roman"/>
        <w:sz w:val="24"/>
        <w:szCs w:val="24"/>
      </w:rPr>
      <w:tab/>
    </w:r>
    <w:r w:rsidRPr="002910C2">
      <w:rPr>
        <w:rFonts w:ascii="Times New Roman" w:hAnsi="Times New Roman" w:cs="Times New Roman"/>
        <w:sz w:val="24"/>
        <w:szCs w:val="24"/>
      </w:rPr>
      <w:tab/>
    </w:r>
    <w:r w:rsidRPr="002910C2">
      <w:rPr>
        <w:rFonts w:ascii="Times New Roman" w:hAnsi="Times New Roman" w:cs="Times New Roman"/>
        <w:sz w:val="24"/>
        <w:szCs w:val="24"/>
      </w:rPr>
      <w:t xml:space="preserve">    </w:t>
    </w:r>
    <w:sdt>
      <w:sdtPr>
        <w:rPr>
          <w:rFonts w:ascii="Times New Roman" w:hAnsi="Times New Roman" w:cs="Times New Roman"/>
          <w:sz w:val="24"/>
          <w:szCs w:val="24"/>
        </w:rPr>
        <w:id w:val="-1303850913"/>
        <w:docPartObj>
          <w:docPartGallery w:val="Page Numbers (Top of Page)"/>
          <w:docPartUnique/>
        </w:docPartObj>
      </w:sdtPr>
      <w:sdtEndPr>
        <w:rPr>
          <w:noProof/>
        </w:rPr>
      </w:sdtEndPr>
      <w:sdtContent>
        <w:r w:rsidRPr="002910C2">
          <w:rPr>
            <w:rFonts w:ascii="Times New Roman" w:hAnsi="Times New Roman" w:cs="Times New Roman"/>
            <w:sz w:val="24"/>
            <w:szCs w:val="24"/>
          </w:rPr>
          <w:t xml:space="preserve">     </w:t>
        </w:r>
        <w:r w:rsidRPr="002910C2">
          <w:rPr>
            <w:rFonts w:ascii="Times New Roman" w:hAnsi="Times New Roman" w:cs="Times New Roman"/>
            <w:sz w:val="24"/>
            <w:szCs w:val="24"/>
          </w:rPr>
          <w:fldChar w:fldCharType="begin"/>
        </w:r>
        <w:r w:rsidRPr="002910C2">
          <w:rPr>
            <w:rFonts w:ascii="Times New Roman" w:hAnsi="Times New Roman" w:cs="Times New Roman"/>
            <w:sz w:val="24"/>
            <w:szCs w:val="24"/>
          </w:rPr>
          <w:instrText xml:space="preserve"> PAGE   \* MERGEFORMAT </w:instrText>
        </w:r>
        <w:r w:rsidRPr="002910C2">
          <w:rPr>
            <w:rFonts w:ascii="Times New Roman" w:hAnsi="Times New Roman" w:cs="Times New Roman"/>
            <w:sz w:val="24"/>
            <w:szCs w:val="24"/>
          </w:rPr>
          <w:fldChar w:fldCharType="separate"/>
        </w:r>
        <w:r w:rsidR="0032119B">
          <w:rPr>
            <w:rFonts w:ascii="Times New Roman" w:hAnsi="Times New Roman" w:cs="Times New Roman"/>
            <w:noProof/>
            <w:sz w:val="24"/>
            <w:szCs w:val="24"/>
          </w:rPr>
          <w:t>14</w:t>
        </w:r>
        <w:r w:rsidRPr="002910C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Pr="002910C2" w:rsidR="002910C2" w:rsidP="002910C2" w:rsidRDefault="002910C2" w14:paraId="3BAC4D88" wp14:textId="77777777">
    <w:pPr>
      <w:spacing w:line="480" w:lineRule="auto"/>
      <w:rPr>
        <w:rFonts w:ascii="Times New Roman" w:hAnsi="Times New Roman" w:cs="Times New Roman"/>
      </w:rPr>
    </w:pPr>
    <w:r w:rsidRPr="002910C2">
      <w:rPr>
        <w:rFonts w:ascii="Times New Roman" w:hAnsi="Times New Roman" w:cs="Times New Roman"/>
      </w:rPr>
      <w:t xml:space="preserve">Running head: </w:t>
    </w:r>
    <w:r w:rsidRPr="002910C2">
      <w:rPr>
        <w:rFonts w:ascii="Times New Roman" w:hAnsi="Times New Roman" w:cs="Times New Roman"/>
        <w:sz w:val="24"/>
        <w:szCs w:val="24"/>
      </w:rPr>
      <w:t>UNEMPLOYMENT AND INFLATION</w:t>
    </w:r>
    <w:r w:rsidRPr="002910C2">
      <w:rPr>
        <w:rFonts w:ascii="Times New Roman" w:hAnsi="Times New Roman" w:cs="Times New Roman"/>
        <w:sz w:val="24"/>
        <w:szCs w:val="24"/>
      </w:rPr>
      <w:tab/>
    </w:r>
    <w:r w:rsidRPr="002910C2">
      <w:rPr>
        <w:rFonts w:ascii="Times New Roman" w:hAnsi="Times New Roman" w:cs="Times New Roman"/>
        <w:sz w:val="24"/>
        <w:szCs w:val="24"/>
      </w:rPr>
      <w:tab/>
    </w:r>
    <w:r w:rsidRPr="002910C2">
      <w:rPr>
        <w:rFonts w:ascii="Times New Roman" w:hAnsi="Times New Roman" w:cs="Times New Roman"/>
        <w:sz w:val="24"/>
        <w:szCs w:val="24"/>
      </w:rPr>
      <w:tab/>
    </w:r>
    <w:r w:rsidRPr="002910C2">
      <w:rPr>
        <w:rFonts w:ascii="Times New Roman" w:hAnsi="Times New Roman" w:cs="Times New Roman"/>
        <w:sz w:val="24"/>
        <w:szCs w:val="24"/>
      </w:rPr>
      <w:t xml:space="preserve">                                  </w:t>
    </w:r>
    <w:sdt>
      <w:sdtPr>
        <w:rPr>
          <w:rFonts w:ascii="Times New Roman" w:hAnsi="Times New Roman" w:cs="Times New Roman"/>
        </w:rPr>
        <w:id w:val="1381980427"/>
        <w:docPartObj>
          <w:docPartGallery w:val="Page Numbers (Top of Page)"/>
          <w:docPartUnique/>
        </w:docPartObj>
      </w:sdtPr>
      <w:sdtEndPr>
        <w:rPr>
          <w:noProof/>
        </w:rPr>
      </w:sdtEndPr>
      <w:sdtContent>
        <w:r w:rsidRPr="002910C2">
          <w:rPr>
            <w:rFonts w:ascii="Times New Roman" w:hAnsi="Times New Roman" w:cs="Times New Roman"/>
          </w:rPr>
          <w:fldChar w:fldCharType="begin"/>
        </w:r>
        <w:r w:rsidRPr="002910C2">
          <w:rPr>
            <w:rFonts w:ascii="Times New Roman" w:hAnsi="Times New Roman" w:cs="Times New Roman"/>
          </w:rPr>
          <w:instrText xml:space="preserve"> PAGE   \* MERGEFORMAT </w:instrText>
        </w:r>
        <w:r w:rsidRPr="002910C2">
          <w:rPr>
            <w:rFonts w:ascii="Times New Roman" w:hAnsi="Times New Roman" w:cs="Times New Roman"/>
          </w:rPr>
          <w:fldChar w:fldCharType="separate"/>
        </w:r>
        <w:r w:rsidR="001735C7">
          <w:rPr>
            <w:rFonts w:ascii="Times New Roman" w:hAnsi="Times New Roman" w:cs="Times New Roman"/>
            <w:noProof/>
          </w:rPr>
          <w:t>1</w:t>
        </w:r>
        <w:r w:rsidRPr="002910C2">
          <w:rPr>
            <w:rFonts w:ascii="Times New Roman" w:hAnsi="Times New Roman" w:cs="Times New Roman"/>
            <w:noProof/>
          </w:rPr>
          <w:fldChar w:fldCharType="end"/>
        </w:r>
      </w:sdtContent>
    </w:sdt>
  </w:p>
  <w:p xmlns:wp14="http://schemas.microsoft.com/office/word/2010/wordml" w:rsidRPr="002910C2" w:rsidR="002910C2" w:rsidRDefault="002910C2" w14:paraId="07459315" wp14:textId="77777777">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E542B"/>
    <w:multiLevelType w:val="hybridMultilevel"/>
    <w:tmpl w:val="9D88E324"/>
    <w:lvl w:ilvl="0" w:tplc="6DA6E280">
      <w:start w:val="1"/>
      <w:numFmt w:val="bullet"/>
      <w:lvlText w:val=""/>
      <w:lvlJc w:val="left"/>
      <w:pPr>
        <w:ind w:left="720" w:hanging="360"/>
      </w:pPr>
      <w:rPr>
        <w:rFonts w:hint="default" w:ascii="Symbol" w:hAnsi="Symbol"/>
      </w:rPr>
    </w:lvl>
    <w:lvl w:ilvl="1" w:tplc="05AA9908">
      <w:start w:val="1"/>
      <w:numFmt w:val="bullet"/>
      <w:lvlText w:val="o"/>
      <w:lvlJc w:val="left"/>
      <w:pPr>
        <w:ind w:left="1440" w:hanging="360"/>
      </w:pPr>
      <w:rPr>
        <w:rFonts w:hint="default" w:ascii="Courier New" w:hAnsi="Courier New"/>
      </w:rPr>
    </w:lvl>
    <w:lvl w:ilvl="2" w:tplc="6C3E284C">
      <w:start w:val="1"/>
      <w:numFmt w:val="bullet"/>
      <w:lvlText w:val=""/>
      <w:lvlJc w:val="left"/>
      <w:pPr>
        <w:ind w:left="2160" w:hanging="360"/>
      </w:pPr>
      <w:rPr>
        <w:rFonts w:hint="default" w:ascii="Wingdings" w:hAnsi="Wingdings"/>
      </w:rPr>
    </w:lvl>
    <w:lvl w:ilvl="3" w:tplc="50A2C7A0">
      <w:start w:val="1"/>
      <w:numFmt w:val="bullet"/>
      <w:lvlText w:val=""/>
      <w:lvlJc w:val="left"/>
      <w:pPr>
        <w:ind w:left="2880" w:hanging="360"/>
      </w:pPr>
      <w:rPr>
        <w:rFonts w:hint="default" w:ascii="Symbol" w:hAnsi="Symbol"/>
      </w:rPr>
    </w:lvl>
    <w:lvl w:ilvl="4" w:tplc="C5421276">
      <w:start w:val="1"/>
      <w:numFmt w:val="bullet"/>
      <w:lvlText w:val="o"/>
      <w:lvlJc w:val="left"/>
      <w:pPr>
        <w:ind w:left="3600" w:hanging="360"/>
      </w:pPr>
      <w:rPr>
        <w:rFonts w:hint="default" w:ascii="Courier New" w:hAnsi="Courier New"/>
      </w:rPr>
    </w:lvl>
    <w:lvl w:ilvl="5" w:tplc="95C06B0E">
      <w:start w:val="1"/>
      <w:numFmt w:val="bullet"/>
      <w:lvlText w:val=""/>
      <w:lvlJc w:val="left"/>
      <w:pPr>
        <w:ind w:left="4320" w:hanging="360"/>
      </w:pPr>
      <w:rPr>
        <w:rFonts w:hint="default" w:ascii="Wingdings" w:hAnsi="Wingdings"/>
      </w:rPr>
    </w:lvl>
    <w:lvl w:ilvl="6" w:tplc="5588A992">
      <w:start w:val="1"/>
      <w:numFmt w:val="bullet"/>
      <w:lvlText w:val=""/>
      <w:lvlJc w:val="left"/>
      <w:pPr>
        <w:ind w:left="5040" w:hanging="360"/>
      </w:pPr>
      <w:rPr>
        <w:rFonts w:hint="default" w:ascii="Symbol" w:hAnsi="Symbol"/>
      </w:rPr>
    </w:lvl>
    <w:lvl w:ilvl="7" w:tplc="FA762208">
      <w:start w:val="1"/>
      <w:numFmt w:val="bullet"/>
      <w:lvlText w:val="o"/>
      <w:lvlJc w:val="left"/>
      <w:pPr>
        <w:ind w:left="5760" w:hanging="360"/>
      </w:pPr>
      <w:rPr>
        <w:rFonts w:hint="default" w:ascii="Courier New" w:hAnsi="Courier New"/>
      </w:rPr>
    </w:lvl>
    <w:lvl w:ilvl="8" w:tplc="EFF88E44">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trackRevisions w:val="fal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946"/>
    <w:rsid w:val="00004C43"/>
    <w:rsid w:val="00026685"/>
    <w:rsid w:val="0003375B"/>
    <w:rsid w:val="000600D6"/>
    <w:rsid w:val="000642CA"/>
    <w:rsid w:val="000B0972"/>
    <w:rsid w:val="000C0C32"/>
    <w:rsid w:val="000D5938"/>
    <w:rsid w:val="000F3C8E"/>
    <w:rsid w:val="00141144"/>
    <w:rsid w:val="00142B87"/>
    <w:rsid w:val="00145483"/>
    <w:rsid w:val="001649F8"/>
    <w:rsid w:val="0017352F"/>
    <w:rsid w:val="001735C7"/>
    <w:rsid w:val="00175540"/>
    <w:rsid w:val="001D6C0D"/>
    <w:rsid w:val="001E763D"/>
    <w:rsid w:val="001F10ED"/>
    <w:rsid w:val="002910C2"/>
    <w:rsid w:val="002F5DBF"/>
    <w:rsid w:val="00310590"/>
    <w:rsid w:val="0032119B"/>
    <w:rsid w:val="003565A1"/>
    <w:rsid w:val="00392253"/>
    <w:rsid w:val="003A5F03"/>
    <w:rsid w:val="00420936"/>
    <w:rsid w:val="004324C9"/>
    <w:rsid w:val="00437229"/>
    <w:rsid w:val="00452C65"/>
    <w:rsid w:val="00490DA2"/>
    <w:rsid w:val="004A4946"/>
    <w:rsid w:val="004B721E"/>
    <w:rsid w:val="00537D06"/>
    <w:rsid w:val="00550278"/>
    <w:rsid w:val="005758AC"/>
    <w:rsid w:val="005D6C27"/>
    <w:rsid w:val="00647282"/>
    <w:rsid w:val="00657192"/>
    <w:rsid w:val="00680B03"/>
    <w:rsid w:val="006A35A4"/>
    <w:rsid w:val="006F65A5"/>
    <w:rsid w:val="00736523"/>
    <w:rsid w:val="00753987"/>
    <w:rsid w:val="007E606A"/>
    <w:rsid w:val="007F49F1"/>
    <w:rsid w:val="007F537C"/>
    <w:rsid w:val="007F608E"/>
    <w:rsid w:val="00837C16"/>
    <w:rsid w:val="00870AFF"/>
    <w:rsid w:val="008B0E3B"/>
    <w:rsid w:val="008C4302"/>
    <w:rsid w:val="008D595F"/>
    <w:rsid w:val="008E5067"/>
    <w:rsid w:val="00904442"/>
    <w:rsid w:val="009112C0"/>
    <w:rsid w:val="00914F60"/>
    <w:rsid w:val="00922B04"/>
    <w:rsid w:val="00963828"/>
    <w:rsid w:val="00981513"/>
    <w:rsid w:val="00984424"/>
    <w:rsid w:val="009A677A"/>
    <w:rsid w:val="009E50FB"/>
    <w:rsid w:val="009F163D"/>
    <w:rsid w:val="00A025C5"/>
    <w:rsid w:val="00A33760"/>
    <w:rsid w:val="00A347A9"/>
    <w:rsid w:val="00A36BB7"/>
    <w:rsid w:val="00A64192"/>
    <w:rsid w:val="00A652E5"/>
    <w:rsid w:val="00A77937"/>
    <w:rsid w:val="00A8470E"/>
    <w:rsid w:val="00A92DEF"/>
    <w:rsid w:val="00AC796C"/>
    <w:rsid w:val="00AD54F5"/>
    <w:rsid w:val="00AF227D"/>
    <w:rsid w:val="00B101EE"/>
    <w:rsid w:val="00B158BD"/>
    <w:rsid w:val="00B769A0"/>
    <w:rsid w:val="00BB2996"/>
    <w:rsid w:val="00BE0FE8"/>
    <w:rsid w:val="00C03172"/>
    <w:rsid w:val="00C11805"/>
    <w:rsid w:val="00C2448E"/>
    <w:rsid w:val="00C366EC"/>
    <w:rsid w:val="00C74920"/>
    <w:rsid w:val="00C83933"/>
    <w:rsid w:val="00CE04F1"/>
    <w:rsid w:val="00CE0CC8"/>
    <w:rsid w:val="00D002BF"/>
    <w:rsid w:val="00D002CE"/>
    <w:rsid w:val="00D037AE"/>
    <w:rsid w:val="00D063F0"/>
    <w:rsid w:val="00D254B3"/>
    <w:rsid w:val="00D671AE"/>
    <w:rsid w:val="00D70A7D"/>
    <w:rsid w:val="00DD712D"/>
    <w:rsid w:val="00DF2AEA"/>
    <w:rsid w:val="00E63E5D"/>
    <w:rsid w:val="00E66743"/>
    <w:rsid w:val="00EB2461"/>
    <w:rsid w:val="00EB65AA"/>
    <w:rsid w:val="00EC483E"/>
    <w:rsid w:val="00EE3F4B"/>
    <w:rsid w:val="00EE435E"/>
    <w:rsid w:val="00EF34FB"/>
    <w:rsid w:val="00F3613E"/>
    <w:rsid w:val="00F55014"/>
    <w:rsid w:val="00F77418"/>
    <w:rsid w:val="00F94717"/>
    <w:rsid w:val="00FF2C7A"/>
    <w:rsid w:val="00FF5752"/>
    <w:rsid w:val="6CAD9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A3264C-D0C9-4AB9-A841-C95E9CC3FFF1}"/>
  <w14:docId w14:val="4EEC4E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semiHidden/>
    <w:unhideWhenUsed/>
    <w:rsid w:val="00EE435E"/>
    <w:rPr>
      <w:color w:val="0000FF"/>
      <w:u w:val="single"/>
    </w:rPr>
  </w:style>
  <w:style w:type="paragraph" w:styleId="Header">
    <w:name w:val="header"/>
    <w:basedOn w:val="Normal"/>
    <w:link w:val="HeaderChar"/>
    <w:uiPriority w:val="99"/>
    <w:unhideWhenUsed/>
    <w:rsid w:val="00F3613E"/>
    <w:pPr>
      <w:tabs>
        <w:tab w:val="center" w:pos="4680"/>
        <w:tab w:val="right" w:pos="9360"/>
      </w:tabs>
      <w:spacing w:after="0" w:line="240" w:lineRule="auto"/>
    </w:pPr>
  </w:style>
  <w:style w:type="character" w:styleId="HeaderChar" w:customStyle="1">
    <w:name w:val="Header Char"/>
    <w:basedOn w:val="DefaultParagraphFont"/>
    <w:link w:val="Header"/>
    <w:uiPriority w:val="99"/>
    <w:rsid w:val="00F3613E"/>
  </w:style>
  <w:style w:type="paragraph" w:styleId="Footer">
    <w:name w:val="footer"/>
    <w:basedOn w:val="Normal"/>
    <w:link w:val="FooterChar"/>
    <w:uiPriority w:val="99"/>
    <w:unhideWhenUsed/>
    <w:rsid w:val="00F3613E"/>
    <w:pPr>
      <w:tabs>
        <w:tab w:val="center" w:pos="4680"/>
        <w:tab w:val="right" w:pos="9360"/>
      </w:tabs>
      <w:spacing w:after="0" w:line="240" w:lineRule="auto"/>
    </w:pPr>
  </w:style>
  <w:style w:type="character" w:styleId="FooterChar" w:customStyle="1">
    <w:name w:val="Footer Char"/>
    <w:basedOn w:val="DefaultParagraphFont"/>
    <w:link w:val="Footer"/>
    <w:uiPriority w:val="99"/>
    <w:rsid w:val="00F3613E"/>
  </w:style>
  <w:style w:type="paragraph" w:styleId="ListParagraph">
    <w:name w:val="List Paragraph"/>
    <w:basedOn w:val="Normal"/>
    <w:uiPriority w:val="34"/>
    <w:qFormat/>
    <w:rsid w:val="00EF34FB"/>
    <w:pPr>
      <w:ind w:left="720"/>
      <w:contextualSpacing/>
    </w:pPr>
  </w:style>
  <w:style w:type="paragraph" w:styleId="NormalWeb">
    <w:name w:val="Normal (Web)"/>
    <w:basedOn w:val="Normal"/>
    <w:uiPriority w:val="99"/>
    <w:semiHidden/>
    <w:unhideWhenUsed/>
    <w:rsid w:val="00EF34FB"/>
    <w:pPr>
      <w:spacing w:before="100" w:beforeAutospacing="1" w:after="100" w:afterAutospacing="1" w:line="240" w:lineRule="auto"/>
    </w:pPr>
    <w:rPr>
      <w:rFonts w:ascii="Times New Roman" w:hAnsi="Times New Roman" w:eastAsia="Times New Roman" w:cs="Times New Roman"/>
      <w:sz w:val="24"/>
      <w:szCs w:val="24"/>
    </w:rPr>
  </w:style>
  <w:style w:type="table" w:styleId="TableGrid">
    <w:name w:val="Table Grid"/>
    <w:basedOn w:val="TableNormal"/>
    <w:uiPriority w:val="39"/>
    <w:rsid w:val="00680B03"/>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Strong">
    <w:name w:val="Strong"/>
    <w:basedOn w:val="DefaultParagraphFont"/>
    <w:uiPriority w:val="22"/>
    <w:qFormat/>
    <w:rsid w:val="00F774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714431">
      <w:bodyDiv w:val="1"/>
      <w:marLeft w:val="0"/>
      <w:marRight w:val="0"/>
      <w:marTop w:val="0"/>
      <w:marBottom w:val="0"/>
      <w:divBdr>
        <w:top w:val="none" w:sz="0" w:space="0" w:color="auto"/>
        <w:left w:val="none" w:sz="0" w:space="0" w:color="auto"/>
        <w:bottom w:val="none" w:sz="0" w:space="0" w:color="auto"/>
        <w:right w:val="none" w:sz="0" w:space="0" w:color="auto"/>
      </w:divBdr>
    </w:div>
    <w:div w:id="92472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hart" Target="charts/chart2.xml" Id="rId8" /><Relationship Type="http://schemas.openxmlformats.org/officeDocument/2006/relationships/header" Target="header2.xml" Id="rId13" /><Relationship Type="http://schemas.openxmlformats.org/officeDocument/2006/relationships/settings" Target="settings.xml" Id="rId3" /><Relationship Type="http://schemas.openxmlformats.org/officeDocument/2006/relationships/chart" Target="charts/chart1.xml" Id="rId7" /><Relationship Type="http://schemas.openxmlformats.org/officeDocument/2006/relationships/header" Target="head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chart" Target="charts/chart4.xml" Id="rId10" /><Relationship Type="http://schemas.openxmlformats.org/officeDocument/2006/relationships/webSettings" Target="webSettings.xml" Id="rId4" /><Relationship Type="http://schemas.openxmlformats.org/officeDocument/2006/relationships/chart" Target="charts/chart3.xml" Id="rId9" /><Relationship Type="http://schemas.openxmlformats.org/officeDocument/2006/relationships/fontTable" Target="fontTable.xml" Id="rId14" /><Relationship Type="http://schemas.openxmlformats.org/officeDocument/2006/relationships/image" Target="/media/image2.png" Id="R7c908e11848849cc" /><Relationship Type="http://schemas.openxmlformats.org/officeDocument/2006/relationships/glossaryDocument" Target="/word/glossary/document.xml" Id="R0b7cef7d2c7e4bef" /><Relationship Type="http://schemas.openxmlformats.org/officeDocument/2006/relationships/footer" Target="/word/footer.xml" Id="R4c7643981aa44986" /><Relationship Type="http://schemas.openxmlformats.org/officeDocument/2006/relationships/footer" Target="/word/footer2.xml" Id="R23e25da5b8fe4f40" /></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0947069116360459E-2"/>
          <c:y val="0.15511904761904763"/>
          <c:w val="0.9190529308836396"/>
          <c:h val="0.66998656417947755"/>
        </c:manualLayout>
      </c:layout>
      <c:barChart>
        <c:barDir val="col"/>
        <c:grouping val="clustered"/>
        <c:varyColors val="0"/>
        <c:ser>
          <c:idx val="0"/>
          <c:order val="0"/>
          <c:tx>
            <c:strRef>
              <c:f>Sheet1!$B$1</c:f>
              <c:strCache>
                <c:ptCount val="1"/>
                <c:pt idx="0">
                  <c:v>US Unemplyment Rate from 2006 to 2019</c:v>
                </c:pt>
              </c:strCache>
            </c:strRef>
          </c:tx>
          <c:spPr>
            <a:solidFill>
              <a:schemeClr val="accent1"/>
            </a:solidFill>
            <a:ln>
              <a:noFill/>
            </a:ln>
            <a:effectLst/>
          </c:spPr>
          <c:invertIfNegative val="0"/>
          <c:cat>
            <c:numRef>
              <c:f>Sheet1!$A$6:$A$15</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Sheet1!$B$6:$B$15</c:f>
              <c:numCache>
                <c:formatCode>General</c:formatCode>
                <c:ptCount val="10"/>
                <c:pt idx="0">
                  <c:v>9.3000000000000007</c:v>
                </c:pt>
                <c:pt idx="1">
                  <c:v>8.5</c:v>
                </c:pt>
                <c:pt idx="2">
                  <c:v>7.9</c:v>
                </c:pt>
                <c:pt idx="3">
                  <c:v>6.7</c:v>
                </c:pt>
                <c:pt idx="4">
                  <c:v>5.6</c:v>
                </c:pt>
                <c:pt idx="5">
                  <c:v>5</c:v>
                </c:pt>
                <c:pt idx="6">
                  <c:v>4.7</c:v>
                </c:pt>
                <c:pt idx="7">
                  <c:v>4.0999999999999996</c:v>
                </c:pt>
                <c:pt idx="8">
                  <c:v>3.9</c:v>
                </c:pt>
                <c:pt idx="9">
                  <c:v>3.6</c:v>
                </c:pt>
              </c:numCache>
            </c:numRef>
          </c:val>
        </c:ser>
        <c:dLbls>
          <c:showLegendKey val="0"/>
          <c:showVal val="0"/>
          <c:showCatName val="0"/>
          <c:showSerName val="0"/>
          <c:showPercent val="0"/>
          <c:showBubbleSize val="0"/>
        </c:dLbls>
        <c:gapWidth val="219"/>
        <c:overlap val="-27"/>
        <c:axId val="583547208"/>
        <c:axId val="583544072"/>
      </c:barChart>
      <c:catAx>
        <c:axId val="583547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544072"/>
        <c:crosses val="autoZero"/>
        <c:auto val="1"/>
        <c:lblAlgn val="ctr"/>
        <c:lblOffset val="100"/>
        <c:noMultiLvlLbl val="0"/>
      </c:catAx>
      <c:valAx>
        <c:axId val="583544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547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United States Inflation Rates 2009 to 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United States Inflation Rates</c:v>
                </c:pt>
              </c:strCache>
            </c:strRef>
          </c:tx>
          <c:spPr>
            <a:solidFill>
              <a:schemeClr val="accent1"/>
            </a:solidFill>
            <a:ln>
              <a:noFill/>
            </a:ln>
            <a:effectLst/>
          </c:spPr>
          <c:invertIfNegative val="0"/>
          <c:cat>
            <c:numRef>
              <c:f>Sheet1!$A$2:$A$12</c:f>
              <c:numCache>
                <c:formatCode>General</c:formatCode>
                <c:ptCount val="11"/>
                <c:pt idx="0">
                  <c:v>2009</c:v>
                </c:pt>
                <c:pt idx="1">
                  <c:v>2010</c:v>
                </c:pt>
                <c:pt idx="2">
                  <c:v>2011</c:v>
                </c:pt>
                <c:pt idx="3">
                  <c:v>2012</c:v>
                </c:pt>
                <c:pt idx="4">
                  <c:v>2013</c:v>
                </c:pt>
                <c:pt idx="5">
                  <c:v>2014</c:v>
                </c:pt>
                <c:pt idx="6">
                  <c:v>2015</c:v>
                </c:pt>
                <c:pt idx="7">
                  <c:v>2016</c:v>
                </c:pt>
                <c:pt idx="8" formatCode="d\-mmm">
                  <c:v>2017</c:v>
                </c:pt>
                <c:pt idx="9">
                  <c:v>2018</c:v>
                </c:pt>
                <c:pt idx="10">
                  <c:v>2019</c:v>
                </c:pt>
              </c:numCache>
            </c:numRef>
          </c:cat>
          <c:val>
            <c:numRef>
              <c:f>Sheet1!$B$2:$B$12</c:f>
              <c:numCache>
                <c:formatCode>General</c:formatCode>
                <c:ptCount val="11"/>
                <c:pt idx="0">
                  <c:v>2.7</c:v>
                </c:pt>
                <c:pt idx="1">
                  <c:v>1.5</c:v>
                </c:pt>
                <c:pt idx="2">
                  <c:v>3</c:v>
                </c:pt>
                <c:pt idx="3">
                  <c:v>1.7</c:v>
                </c:pt>
                <c:pt idx="4">
                  <c:v>1.5</c:v>
                </c:pt>
                <c:pt idx="5">
                  <c:v>0.8</c:v>
                </c:pt>
                <c:pt idx="6">
                  <c:v>0.7</c:v>
                </c:pt>
                <c:pt idx="7">
                  <c:v>2.1</c:v>
                </c:pt>
                <c:pt idx="8">
                  <c:v>2.1</c:v>
                </c:pt>
                <c:pt idx="9">
                  <c:v>1.9</c:v>
                </c:pt>
                <c:pt idx="10">
                  <c:v>1.8</c:v>
                </c:pt>
              </c:numCache>
            </c:numRef>
          </c:val>
        </c:ser>
        <c:dLbls>
          <c:showLegendKey val="0"/>
          <c:showVal val="0"/>
          <c:showCatName val="0"/>
          <c:showSerName val="0"/>
          <c:showPercent val="0"/>
          <c:showBubbleSize val="0"/>
        </c:dLbls>
        <c:gapWidth val="219"/>
        <c:overlap val="-27"/>
        <c:axId val="583545640"/>
        <c:axId val="583546424"/>
      </c:barChart>
      <c:catAx>
        <c:axId val="583545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546424"/>
        <c:crosses val="autoZero"/>
        <c:auto val="1"/>
        <c:lblAlgn val="ctr"/>
        <c:lblOffset val="100"/>
        <c:noMultiLvlLbl val="0"/>
      </c:catAx>
      <c:valAx>
        <c:axId val="583546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545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6201698745990096E-2"/>
          <c:y val="0.25779808773903262"/>
          <c:w val="0.91379830125400996"/>
          <c:h val="0.66998656417947755"/>
        </c:manualLayout>
      </c:layout>
      <c:barChart>
        <c:barDir val="col"/>
        <c:grouping val="clustered"/>
        <c:varyColors val="0"/>
        <c:ser>
          <c:idx val="0"/>
          <c:order val="0"/>
          <c:tx>
            <c:strRef>
              <c:f>Sheet1!$B$1</c:f>
              <c:strCache>
                <c:ptCount val="1"/>
                <c:pt idx="0">
                  <c:v>Real GDP Growth from 2006-2018</c:v>
                </c:pt>
              </c:strCache>
            </c:strRef>
          </c:tx>
          <c:spPr>
            <a:solidFill>
              <a:schemeClr val="accent1"/>
            </a:solidFill>
            <a:ln>
              <a:noFill/>
            </a:ln>
            <a:effectLst/>
          </c:spPr>
          <c:invertIfNegative val="0"/>
          <c:cat>
            <c:numRef>
              <c:f>Sheet1!$A$2:$A$14</c:f>
              <c:numCache>
                <c:formatCode>General</c:formatCode>
                <c:ptCount val="13"/>
                <c:pt idx="0">
                  <c:v>2006</c:v>
                </c:pt>
                <c:pt idx="1">
                  <c:v>2007</c:v>
                </c:pt>
                <c:pt idx="2">
                  <c:v>2009</c:v>
                </c:pt>
                <c:pt idx="3">
                  <c:v>2010</c:v>
                </c:pt>
                <c:pt idx="4">
                  <c:v>2011</c:v>
                </c:pt>
                <c:pt idx="5">
                  <c:v>2012</c:v>
                </c:pt>
                <c:pt idx="6">
                  <c:v>2013</c:v>
                </c:pt>
                <c:pt idx="7">
                  <c:v>2014</c:v>
                </c:pt>
                <c:pt idx="8">
                  <c:v>2015</c:v>
                </c:pt>
                <c:pt idx="9">
                  <c:v>2016</c:v>
                </c:pt>
                <c:pt idx="10">
                  <c:v>2017</c:v>
                </c:pt>
                <c:pt idx="11">
                  <c:v>2018</c:v>
                </c:pt>
              </c:numCache>
            </c:numRef>
          </c:cat>
          <c:val>
            <c:numRef>
              <c:f>Sheet1!$B$2:$B$14</c:f>
              <c:numCache>
                <c:formatCode>General</c:formatCode>
                <c:ptCount val="13"/>
                <c:pt idx="0">
                  <c:v>-0.1</c:v>
                </c:pt>
                <c:pt idx="1">
                  <c:v>-2.5</c:v>
                </c:pt>
                <c:pt idx="2">
                  <c:v>3.5</c:v>
                </c:pt>
                <c:pt idx="3">
                  <c:v>2.6</c:v>
                </c:pt>
                <c:pt idx="4">
                  <c:v>1.6</c:v>
                </c:pt>
                <c:pt idx="5">
                  <c:v>2.2000000000000002</c:v>
                </c:pt>
                <c:pt idx="6">
                  <c:v>1.8</c:v>
                </c:pt>
                <c:pt idx="7">
                  <c:v>2.5</c:v>
                </c:pt>
                <c:pt idx="8">
                  <c:v>2.9</c:v>
                </c:pt>
                <c:pt idx="9">
                  <c:v>1.6</c:v>
                </c:pt>
                <c:pt idx="10">
                  <c:v>2.2000000000000002</c:v>
                </c:pt>
                <c:pt idx="11">
                  <c:v>2.9</c:v>
                </c:pt>
              </c:numCache>
            </c:numRef>
          </c:val>
        </c:ser>
        <c:dLbls>
          <c:showLegendKey val="0"/>
          <c:showVal val="0"/>
          <c:showCatName val="0"/>
          <c:showSerName val="0"/>
          <c:showPercent val="0"/>
          <c:showBubbleSize val="0"/>
        </c:dLbls>
        <c:gapWidth val="219"/>
        <c:overlap val="-27"/>
        <c:axId val="583546816"/>
        <c:axId val="583541720"/>
      </c:barChart>
      <c:catAx>
        <c:axId val="58354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541720"/>
        <c:crosses val="autoZero"/>
        <c:auto val="1"/>
        <c:lblAlgn val="ctr"/>
        <c:lblOffset val="100"/>
        <c:noMultiLvlLbl val="0"/>
      </c:catAx>
      <c:valAx>
        <c:axId val="583541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3546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cap="none" spc="0" normalizeH="0" baseline="0">
                <a:solidFill>
                  <a:sysClr val="windowText" lastClr="000000">
                    <a:lumMod val="50000"/>
                    <a:lumOff val="50000"/>
                  </a:sysClr>
                </a:solidFill>
                <a:latin typeface="+mj-lt"/>
                <a:ea typeface="+mj-ea"/>
                <a:cs typeface="+mj-cs"/>
              </a:defRPr>
            </a:pPr>
            <a:r>
              <a:rPr lang="en-US" sz="1200" b="1" i="0">
                <a:solidFill>
                  <a:schemeClr val="tx1"/>
                </a:solidFill>
                <a:effectLst/>
                <a:latin typeface="Times New Roman" panose="02020603050405020304" pitchFamily="18" charset="0"/>
                <a:cs typeface="Times New Roman" panose="02020603050405020304" pitchFamily="18" charset="0"/>
              </a:rPr>
              <a:t>Median weekly earnings of full-time wage and salary workers by sex</a:t>
            </a:r>
          </a:p>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cap="none" spc="0" normalizeH="0" baseline="0">
                <a:solidFill>
                  <a:sysClr val="windowText" lastClr="000000">
                    <a:lumMod val="50000"/>
                    <a:lumOff val="50000"/>
                  </a:sysClr>
                </a:solidFill>
                <a:latin typeface="+mj-lt"/>
                <a:ea typeface="+mj-ea"/>
                <a:cs typeface="+mj-cs"/>
              </a:defRPr>
            </a:pPr>
            <a:r>
              <a:rPr lang="en-US" sz="1200" baseline="0">
                <a:solidFill>
                  <a:schemeClr val="tx1"/>
                </a:solidFill>
                <a:latin typeface="Times New Roman" panose="02020603050405020304" pitchFamily="18" charset="0"/>
                <a:cs typeface="Times New Roman" panose="02020603050405020304" pitchFamily="18" charset="0"/>
              </a:rPr>
              <a:t>2005 to 2019 </a:t>
            </a:r>
            <a:endParaRPr lang="en-US"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14737259405074365"/>
          <c:y val="4.3650793650793648E-2"/>
        </c:manualLayout>
      </c:layout>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cap="none" spc="0" normalizeH="0" baseline="0">
              <a:solidFill>
                <a:sysClr val="windowText" lastClr="000000">
                  <a:lumMod val="50000"/>
                  <a:lumOff val="50000"/>
                </a:sysClr>
              </a:solidFill>
              <a:latin typeface="+mj-lt"/>
              <a:ea typeface="+mj-ea"/>
              <a:cs typeface="+mj-cs"/>
            </a:defRPr>
          </a:pPr>
          <a:endParaRPr lang="en-US"/>
        </a:p>
      </c:txPr>
    </c:title>
    <c:autoTitleDeleted val="0"/>
    <c:plotArea>
      <c:layout/>
      <c:lineChart>
        <c:grouping val="stacked"/>
        <c:varyColors val="0"/>
        <c:ser>
          <c:idx val="0"/>
          <c:order val="0"/>
          <c:tx>
            <c:strRef>
              <c:f>Sheet1!$B$1</c:f>
              <c:strCache>
                <c:ptCount val="1"/>
                <c:pt idx="0">
                  <c:v>Total (current dollars)</c:v>
                </c:pt>
              </c:strCache>
            </c:strRef>
          </c:tx>
          <c:spPr>
            <a:ln w="22225" cap="rnd">
              <a:solidFill>
                <a:schemeClr val="accent1"/>
              </a:solidFill>
              <a:round/>
            </a:ln>
            <a:effectLst/>
          </c:spPr>
          <c:marker>
            <c:symbol val="none"/>
          </c:marker>
          <c:cat>
            <c:strRef>
              <c:f>Sheet1!$A$2:$A$60</c:f>
              <c:strCache>
                <c:ptCount val="59"/>
                <c:pt idx="0">
                  <c:v>Q1 2005</c:v>
                </c:pt>
                <c:pt idx="1">
                  <c:v>Q2 2005</c:v>
                </c:pt>
                <c:pt idx="2">
                  <c:v>Q3 2005</c:v>
                </c:pt>
                <c:pt idx="3">
                  <c:v>Q4 2005</c:v>
                </c:pt>
                <c:pt idx="4">
                  <c:v>Q1 2006</c:v>
                </c:pt>
                <c:pt idx="5">
                  <c:v>Q2 2006</c:v>
                </c:pt>
                <c:pt idx="6">
                  <c:v>Q3 2006</c:v>
                </c:pt>
                <c:pt idx="7">
                  <c:v>Q4 2006</c:v>
                </c:pt>
                <c:pt idx="8">
                  <c:v>Q1 2007</c:v>
                </c:pt>
                <c:pt idx="9">
                  <c:v>Q2 2007</c:v>
                </c:pt>
                <c:pt idx="10">
                  <c:v>Q3 2007</c:v>
                </c:pt>
                <c:pt idx="11">
                  <c:v>Q4 2007</c:v>
                </c:pt>
                <c:pt idx="12">
                  <c:v>Q1 2008</c:v>
                </c:pt>
                <c:pt idx="13">
                  <c:v>Q2 2008</c:v>
                </c:pt>
                <c:pt idx="14">
                  <c:v>Q3 2008</c:v>
                </c:pt>
                <c:pt idx="15">
                  <c:v>Q4 2008</c:v>
                </c:pt>
                <c:pt idx="16">
                  <c:v>Q1 2009</c:v>
                </c:pt>
                <c:pt idx="17">
                  <c:v>Q2 2009</c:v>
                </c:pt>
                <c:pt idx="18">
                  <c:v>Q3 2009</c:v>
                </c:pt>
                <c:pt idx="19">
                  <c:v>Q4 2009</c:v>
                </c:pt>
                <c:pt idx="20">
                  <c:v>Q1 2010</c:v>
                </c:pt>
                <c:pt idx="21">
                  <c:v>Q2 2010</c:v>
                </c:pt>
                <c:pt idx="22">
                  <c:v>Q3 2010</c:v>
                </c:pt>
                <c:pt idx="23">
                  <c:v>Q4 2010</c:v>
                </c:pt>
                <c:pt idx="24">
                  <c:v>Q1 2011</c:v>
                </c:pt>
                <c:pt idx="25">
                  <c:v>Q2 2011</c:v>
                </c:pt>
                <c:pt idx="26">
                  <c:v>Q3 2011</c:v>
                </c:pt>
                <c:pt idx="27">
                  <c:v>Q4 2011</c:v>
                </c:pt>
                <c:pt idx="28">
                  <c:v>Q1 2012</c:v>
                </c:pt>
                <c:pt idx="29">
                  <c:v>Q2 2012</c:v>
                </c:pt>
                <c:pt idx="30">
                  <c:v>Q3 2012</c:v>
                </c:pt>
                <c:pt idx="31">
                  <c:v>Q4 2012</c:v>
                </c:pt>
                <c:pt idx="32">
                  <c:v>Q1 2013</c:v>
                </c:pt>
                <c:pt idx="33">
                  <c:v>Q2 2013</c:v>
                </c:pt>
                <c:pt idx="34">
                  <c:v>Q3 2013</c:v>
                </c:pt>
                <c:pt idx="35">
                  <c:v>Q4 2013</c:v>
                </c:pt>
                <c:pt idx="36">
                  <c:v>Q1 2014</c:v>
                </c:pt>
                <c:pt idx="37">
                  <c:v>Q2 2014</c:v>
                </c:pt>
                <c:pt idx="38">
                  <c:v>Q3 2014</c:v>
                </c:pt>
                <c:pt idx="39">
                  <c:v>Q4 2014</c:v>
                </c:pt>
                <c:pt idx="40">
                  <c:v>Q1 2015</c:v>
                </c:pt>
                <c:pt idx="41">
                  <c:v>Q2 2015</c:v>
                </c:pt>
                <c:pt idx="42">
                  <c:v>Q3 2015</c:v>
                </c:pt>
                <c:pt idx="43">
                  <c:v>Q4 2015</c:v>
                </c:pt>
                <c:pt idx="44">
                  <c:v>Q1 2016</c:v>
                </c:pt>
                <c:pt idx="45">
                  <c:v>Q2 2016</c:v>
                </c:pt>
                <c:pt idx="46">
                  <c:v>Q3 2016</c:v>
                </c:pt>
                <c:pt idx="47">
                  <c:v>Q4 2016</c:v>
                </c:pt>
                <c:pt idx="48">
                  <c:v>Q1 2017</c:v>
                </c:pt>
                <c:pt idx="49">
                  <c:v>Q2 2017</c:v>
                </c:pt>
                <c:pt idx="50">
                  <c:v>Q3 2017</c:v>
                </c:pt>
                <c:pt idx="51">
                  <c:v>Q4 2017</c:v>
                </c:pt>
                <c:pt idx="52">
                  <c:v>Q1 2018</c:v>
                </c:pt>
                <c:pt idx="53">
                  <c:v>Q2 2018</c:v>
                </c:pt>
                <c:pt idx="54">
                  <c:v>Q3 2018</c:v>
                </c:pt>
                <c:pt idx="55">
                  <c:v>Q4 2018</c:v>
                </c:pt>
                <c:pt idx="56">
                  <c:v>Q1 2019</c:v>
                </c:pt>
                <c:pt idx="57">
                  <c:v>Q2 2019</c:v>
                </c:pt>
                <c:pt idx="58">
                  <c:v>Q3 2019</c:v>
                </c:pt>
              </c:strCache>
            </c:strRef>
          </c:cat>
          <c:val>
            <c:numRef>
              <c:f>Sheet1!$B$2:$B$60</c:f>
              <c:numCache>
                <c:formatCode>General</c:formatCode>
                <c:ptCount val="59"/>
                <c:pt idx="0">
                  <c:v>647</c:v>
                </c:pt>
                <c:pt idx="1">
                  <c:v>647</c:v>
                </c:pt>
                <c:pt idx="2">
                  <c:v>651</c:v>
                </c:pt>
                <c:pt idx="3">
                  <c:v>658</c:v>
                </c:pt>
                <c:pt idx="4">
                  <c:v>662</c:v>
                </c:pt>
                <c:pt idx="5">
                  <c:v>663</c:v>
                </c:pt>
                <c:pt idx="6">
                  <c:v>678</c:v>
                </c:pt>
                <c:pt idx="7">
                  <c:v>681</c:v>
                </c:pt>
                <c:pt idx="8">
                  <c:v>687</c:v>
                </c:pt>
                <c:pt idx="9">
                  <c:v>693</c:v>
                </c:pt>
                <c:pt idx="10">
                  <c:v>698</c:v>
                </c:pt>
                <c:pt idx="11">
                  <c:v>700</c:v>
                </c:pt>
                <c:pt idx="12">
                  <c:v>713</c:v>
                </c:pt>
                <c:pt idx="13">
                  <c:v>722</c:v>
                </c:pt>
                <c:pt idx="14">
                  <c:v>724</c:v>
                </c:pt>
                <c:pt idx="15">
                  <c:v>727</c:v>
                </c:pt>
                <c:pt idx="16">
                  <c:v>732</c:v>
                </c:pt>
                <c:pt idx="17">
                  <c:v>737</c:v>
                </c:pt>
                <c:pt idx="18">
                  <c:v>742</c:v>
                </c:pt>
                <c:pt idx="19">
                  <c:v>747</c:v>
                </c:pt>
                <c:pt idx="20">
                  <c:v>748</c:v>
                </c:pt>
                <c:pt idx="21">
                  <c:v>742</c:v>
                </c:pt>
                <c:pt idx="22">
                  <c:v>746</c:v>
                </c:pt>
                <c:pt idx="23">
                  <c:v>750</c:v>
                </c:pt>
                <c:pt idx="24">
                  <c:v>750</c:v>
                </c:pt>
                <c:pt idx="25">
                  <c:v>754</c:v>
                </c:pt>
                <c:pt idx="26">
                  <c:v>760</c:v>
                </c:pt>
                <c:pt idx="27">
                  <c:v>760</c:v>
                </c:pt>
                <c:pt idx="28">
                  <c:v>764</c:v>
                </c:pt>
                <c:pt idx="29">
                  <c:v>772</c:v>
                </c:pt>
                <c:pt idx="30">
                  <c:v>766</c:v>
                </c:pt>
                <c:pt idx="31">
                  <c:v>771</c:v>
                </c:pt>
                <c:pt idx="32">
                  <c:v>768</c:v>
                </c:pt>
                <c:pt idx="33">
                  <c:v>777</c:v>
                </c:pt>
                <c:pt idx="34">
                  <c:v>779</c:v>
                </c:pt>
                <c:pt idx="35">
                  <c:v>782</c:v>
                </c:pt>
                <c:pt idx="36">
                  <c:v>790</c:v>
                </c:pt>
                <c:pt idx="37">
                  <c:v>781</c:v>
                </c:pt>
                <c:pt idx="38">
                  <c:v>798</c:v>
                </c:pt>
                <c:pt idx="39">
                  <c:v>795</c:v>
                </c:pt>
                <c:pt idx="40">
                  <c:v>801</c:v>
                </c:pt>
                <c:pt idx="41">
                  <c:v>803</c:v>
                </c:pt>
                <c:pt idx="42">
                  <c:v>810</c:v>
                </c:pt>
                <c:pt idx="43">
                  <c:v>822</c:v>
                </c:pt>
                <c:pt idx="44">
                  <c:v>823</c:v>
                </c:pt>
                <c:pt idx="45">
                  <c:v>827</c:v>
                </c:pt>
                <c:pt idx="46">
                  <c:v>833</c:v>
                </c:pt>
                <c:pt idx="47">
                  <c:v>846</c:v>
                </c:pt>
                <c:pt idx="48">
                  <c:v>857</c:v>
                </c:pt>
                <c:pt idx="49">
                  <c:v>862</c:v>
                </c:pt>
                <c:pt idx="50">
                  <c:v>865</c:v>
                </c:pt>
                <c:pt idx="51">
                  <c:v>854</c:v>
                </c:pt>
                <c:pt idx="52">
                  <c:v>874</c:v>
                </c:pt>
                <c:pt idx="53">
                  <c:v>880</c:v>
                </c:pt>
                <c:pt idx="54">
                  <c:v>893</c:v>
                </c:pt>
                <c:pt idx="55">
                  <c:v>897</c:v>
                </c:pt>
                <c:pt idx="56">
                  <c:v>898</c:v>
                </c:pt>
                <c:pt idx="57">
                  <c:v>911</c:v>
                </c:pt>
                <c:pt idx="58">
                  <c:v>923</c:v>
                </c:pt>
              </c:numCache>
            </c:numRef>
          </c:val>
          <c:smooth val="0"/>
        </c:ser>
        <c:ser>
          <c:idx val="1"/>
          <c:order val="1"/>
          <c:tx>
            <c:strRef>
              <c:f>Sheet1!$C$1</c:f>
              <c:strCache>
                <c:ptCount val="1"/>
                <c:pt idx="0">
                  <c:v>Men (current dollars)</c:v>
                </c:pt>
              </c:strCache>
            </c:strRef>
          </c:tx>
          <c:spPr>
            <a:ln w="22225" cap="rnd">
              <a:solidFill>
                <a:schemeClr val="accent2"/>
              </a:solidFill>
              <a:round/>
            </a:ln>
            <a:effectLst/>
          </c:spPr>
          <c:marker>
            <c:symbol val="none"/>
          </c:marker>
          <c:cat>
            <c:strRef>
              <c:f>Sheet1!$A$2:$A$60</c:f>
              <c:strCache>
                <c:ptCount val="59"/>
                <c:pt idx="0">
                  <c:v>Q1 2005</c:v>
                </c:pt>
                <c:pt idx="1">
                  <c:v>Q2 2005</c:v>
                </c:pt>
                <c:pt idx="2">
                  <c:v>Q3 2005</c:v>
                </c:pt>
                <c:pt idx="3">
                  <c:v>Q4 2005</c:v>
                </c:pt>
                <c:pt idx="4">
                  <c:v>Q1 2006</c:v>
                </c:pt>
                <c:pt idx="5">
                  <c:v>Q2 2006</c:v>
                </c:pt>
                <c:pt idx="6">
                  <c:v>Q3 2006</c:v>
                </c:pt>
                <c:pt idx="7">
                  <c:v>Q4 2006</c:v>
                </c:pt>
                <c:pt idx="8">
                  <c:v>Q1 2007</c:v>
                </c:pt>
                <c:pt idx="9">
                  <c:v>Q2 2007</c:v>
                </c:pt>
                <c:pt idx="10">
                  <c:v>Q3 2007</c:v>
                </c:pt>
                <c:pt idx="11">
                  <c:v>Q4 2007</c:v>
                </c:pt>
                <c:pt idx="12">
                  <c:v>Q1 2008</c:v>
                </c:pt>
                <c:pt idx="13">
                  <c:v>Q2 2008</c:v>
                </c:pt>
                <c:pt idx="14">
                  <c:v>Q3 2008</c:v>
                </c:pt>
                <c:pt idx="15">
                  <c:v>Q4 2008</c:v>
                </c:pt>
                <c:pt idx="16">
                  <c:v>Q1 2009</c:v>
                </c:pt>
                <c:pt idx="17">
                  <c:v>Q2 2009</c:v>
                </c:pt>
                <c:pt idx="18">
                  <c:v>Q3 2009</c:v>
                </c:pt>
                <c:pt idx="19">
                  <c:v>Q4 2009</c:v>
                </c:pt>
                <c:pt idx="20">
                  <c:v>Q1 2010</c:v>
                </c:pt>
                <c:pt idx="21">
                  <c:v>Q2 2010</c:v>
                </c:pt>
                <c:pt idx="22">
                  <c:v>Q3 2010</c:v>
                </c:pt>
                <c:pt idx="23">
                  <c:v>Q4 2010</c:v>
                </c:pt>
                <c:pt idx="24">
                  <c:v>Q1 2011</c:v>
                </c:pt>
                <c:pt idx="25">
                  <c:v>Q2 2011</c:v>
                </c:pt>
                <c:pt idx="26">
                  <c:v>Q3 2011</c:v>
                </c:pt>
                <c:pt idx="27">
                  <c:v>Q4 2011</c:v>
                </c:pt>
                <c:pt idx="28">
                  <c:v>Q1 2012</c:v>
                </c:pt>
                <c:pt idx="29">
                  <c:v>Q2 2012</c:v>
                </c:pt>
                <c:pt idx="30">
                  <c:v>Q3 2012</c:v>
                </c:pt>
                <c:pt idx="31">
                  <c:v>Q4 2012</c:v>
                </c:pt>
                <c:pt idx="32">
                  <c:v>Q1 2013</c:v>
                </c:pt>
                <c:pt idx="33">
                  <c:v>Q2 2013</c:v>
                </c:pt>
                <c:pt idx="34">
                  <c:v>Q3 2013</c:v>
                </c:pt>
                <c:pt idx="35">
                  <c:v>Q4 2013</c:v>
                </c:pt>
                <c:pt idx="36">
                  <c:v>Q1 2014</c:v>
                </c:pt>
                <c:pt idx="37">
                  <c:v>Q2 2014</c:v>
                </c:pt>
                <c:pt idx="38">
                  <c:v>Q3 2014</c:v>
                </c:pt>
                <c:pt idx="39">
                  <c:v>Q4 2014</c:v>
                </c:pt>
                <c:pt idx="40">
                  <c:v>Q1 2015</c:v>
                </c:pt>
                <c:pt idx="41">
                  <c:v>Q2 2015</c:v>
                </c:pt>
                <c:pt idx="42">
                  <c:v>Q3 2015</c:v>
                </c:pt>
                <c:pt idx="43">
                  <c:v>Q4 2015</c:v>
                </c:pt>
                <c:pt idx="44">
                  <c:v>Q1 2016</c:v>
                </c:pt>
                <c:pt idx="45">
                  <c:v>Q2 2016</c:v>
                </c:pt>
                <c:pt idx="46">
                  <c:v>Q3 2016</c:v>
                </c:pt>
                <c:pt idx="47">
                  <c:v>Q4 2016</c:v>
                </c:pt>
                <c:pt idx="48">
                  <c:v>Q1 2017</c:v>
                </c:pt>
                <c:pt idx="49">
                  <c:v>Q2 2017</c:v>
                </c:pt>
                <c:pt idx="50">
                  <c:v>Q3 2017</c:v>
                </c:pt>
                <c:pt idx="51">
                  <c:v>Q4 2017</c:v>
                </c:pt>
                <c:pt idx="52">
                  <c:v>Q1 2018</c:v>
                </c:pt>
                <c:pt idx="53">
                  <c:v>Q2 2018</c:v>
                </c:pt>
                <c:pt idx="54">
                  <c:v>Q3 2018</c:v>
                </c:pt>
                <c:pt idx="55">
                  <c:v>Q4 2018</c:v>
                </c:pt>
                <c:pt idx="56">
                  <c:v>Q1 2019</c:v>
                </c:pt>
                <c:pt idx="57">
                  <c:v>Q2 2019</c:v>
                </c:pt>
                <c:pt idx="58">
                  <c:v>Q3 2019</c:v>
                </c:pt>
              </c:strCache>
            </c:strRef>
          </c:cat>
          <c:val>
            <c:numRef>
              <c:f>Sheet1!$C$2:$C$60</c:f>
              <c:numCache>
                <c:formatCode>General</c:formatCode>
                <c:ptCount val="59"/>
                <c:pt idx="0">
                  <c:v>723</c:v>
                </c:pt>
                <c:pt idx="1">
                  <c:v>714</c:v>
                </c:pt>
                <c:pt idx="2">
                  <c:v>723</c:v>
                </c:pt>
                <c:pt idx="3">
                  <c:v>730</c:v>
                </c:pt>
                <c:pt idx="4">
                  <c:v>737</c:v>
                </c:pt>
                <c:pt idx="5">
                  <c:v>732</c:v>
                </c:pt>
                <c:pt idx="6">
                  <c:v>755</c:v>
                </c:pt>
                <c:pt idx="7">
                  <c:v>748</c:v>
                </c:pt>
                <c:pt idx="8">
                  <c:v>752</c:v>
                </c:pt>
                <c:pt idx="9">
                  <c:v>765</c:v>
                </c:pt>
                <c:pt idx="10">
                  <c:v>774</c:v>
                </c:pt>
                <c:pt idx="11">
                  <c:v>774</c:v>
                </c:pt>
                <c:pt idx="12">
                  <c:v>783</c:v>
                </c:pt>
                <c:pt idx="13">
                  <c:v>802</c:v>
                </c:pt>
                <c:pt idx="14">
                  <c:v>802</c:v>
                </c:pt>
                <c:pt idx="15">
                  <c:v>806</c:v>
                </c:pt>
                <c:pt idx="16">
                  <c:v>815</c:v>
                </c:pt>
                <c:pt idx="17">
                  <c:v>818</c:v>
                </c:pt>
                <c:pt idx="18">
                  <c:v>820</c:v>
                </c:pt>
                <c:pt idx="19">
                  <c:v>823</c:v>
                </c:pt>
                <c:pt idx="20">
                  <c:v>836</c:v>
                </c:pt>
                <c:pt idx="21">
                  <c:v>814</c:v>
                </c:pt>
                <c:pt idx="22">
                  <c:v>821</c:v>
                </c:pt>
                <c:pt idx="23">
                  <c:v>826</c:v>
                </c:pt>
                <c:pt idx="24">
                  <c:v>821</c:v>
                </c:pt>
                <c:pt idx="25">
                  <c:v>830</c:v>
                </c:pt>
                <c:pt idx="26">
                  <c:v>836</c:v>
                </c:pt>
                <c:pt idx="27">
                  <c:v>838</c:v>
                </c:pt>
                <c:pt idx="28">
                  <c:v>841</c:v>
                </c:pt>
                <c:pt idx="29">
                  <c:v>870</c:v>
                </c:pt>
                <c:pt idx="30">
                  <c:v>836</c:v>
                </c:pt>
                <c:pt idx="31">
                  <c:v>868</c:v>
                </c:pt>
                <c:pt idx="32">
                  <c:v>860</c:v>
                </c:pt>
                <c:pt idx="33">
                  <c:v>863</c:v>
                </c:pt>
                <c:pt idx="34">
                  <c:v>855</c:v>
                </c:pt>
                <c:pt idx="35">
                  <c:v>865</c:v>
                </c:pt>
                <c:pt idx="36">
                  <c:v>865</c:v>
                </c:pt>
                <c:pt idx="37">
                  <c:v>860</c:v>
                </c:pt>
                <c:pt idx="38">
                  <c:v>878</c:v>
                </c:pt>
                <c:pt idx="39">
                  <c:v>878</c:v>
                </c:pt>
                <c:pt idx="40">
                  <c:v>886</c:v>
                </c:pt>
                <c:pt idx="41">
                  <c:v>890</c:v>
                </c:pt>
                <c:pt idx="42">
                  <c:v>896</c:v>
                </c:pt>
                <c:pt idx="43">
                  <c:v>904</c:v>
                </c:pt>
                <c:pt idx="44">
                  <c:v>903</c:v>
                </c:pt>
                <c:pt idx="45">
                  <c:v>914</c:v>
                </c:pt>
                <c:pt idx="46">
                  <c:v>917</c:v>
                </c:pt>
                <c:pt idx="47">
                  <c:v>924</c:v>
                </c:pt>
                <c:pt idx="48">
                  <c:v>940</c:v>
                </c:pt>
                <c:pt idx="49">
                  <c:v>939</c:v>
                </c:pt>
                <c:pt idx="50">
                  <c:v>943</c:v>
                </c:pt>
                <c:pt idx="51">
                  <c:v>943</c:v>
                </c:pt>
                <c:pt idx="52">
                  <c:v>955</c:v>
                </c:pt>
                <c:pt idx="53">
                  <c:v>964</c:v>
                </c:pt>
                <c:pt idx="54">
                  <c:v>980</c:v>
                </c:pt>
                <c:pt idx="55">
                  <c:v>991</c:v>
                </c:pt>
                <c:pt idx="56">
                  <c:v>994</c:v>
                </c:pt>
                <c:pt idx="57" formatCode="#,##0">
                  <c:v>1005</c:v>
                </c:pt>
                <c:pt idx="58" formatCode="#,##0">
                  <c:v>1010</c:v>
                </c:pt>
              </c:numCache>
            </c:numRef>
          </c:val>
          <c:smooth val="0"/>
        </c:ser>
        <c:ser>
          <c:idx val="2"/>
          <c:order val="2"/>
          <c:tx>
            <c:strRef>
              <c:f>Sheet1!$D$1</c:f>
              <c:strCache>
                <c:ptCount val="1"/>
                <c:pt idx="0">
                  <c:v>Women (current dollars)</c:v>
                </c:pt>
              </c:strCache>
            </c:strRef>
          </c:tx>
          <c:spPr>
            <a:ln w="22225" cap="rnd">
              <a:solidFill>
                <a:schemeClr val="accent3"/>
              </a:solidFill>
              <a:round/>
            </a:ln>
            <a:effectLst/>
          </c:spPr>
          <c:marker>
            <c:symbol val="none"/>
          </c:marker>
          <c:cat>
            <c:strRef>
              <c:f>Sheet1!$A$2:$A$60</c:f>
              <c:strCache>
                <c:ptCount val="59"/>
                <c:pt idx="0">
                  <c:v>Q1 2005</c:v>
                </c:pt>
                <c:pt idx="1">
                  <c:v>Q2 2005</c:v>
                </c:pt>
                <c:pt idx="2">
                  <c:v>Q3 2005</c:v>
                </c:pt>
                <c:pt idx="3">
                  <c:v>Q4 2005</c:v>
                </c:pt>
                <c:pt idx="4">
                  <c:v>Q1 2006</c:v>
                </c:pt>
                <c:pt idx="5">
                  <c:v>Q2 2006</c:v>
                </c:pt>
                <c:pt idx="6">
                  <c:v>Q3 2006</c:v>
                </c:pt>
                <c:pt idx="7">
                  <c:v>Q4 2006</c:v>
                </c:pt>
                <c:pt idx="8">
                  <c:v>Q1 2007</c:v>
                </c:pt>
                <c:pt idx="9">
                  <c:v>Q2 2007</c:v>
                </c:pt>
                <c:pt idx="10">
                  <c:v>Q3 2007</c:v>
                </c:pt>
                <c:pt idx="11">
                  <c:v>Q4 2007</c:v>
                </c:pt>
                <c:pt idx="12">
                  <c:v>Q1 2008</c:v>
                </c:pt>
                <c:pt idx="13">
                  <c:v>Q2 2008</c:v>
                </c:pt>
                <c:pt idx="14">
                  <c:v>Q3 2008</c:v>
                </c:pt>
                <c:pt idx="15">
                  <c:v>Q4 2008</c:v>
                </c:pt>
                <c:pt idx="16">
                  <c:v>Q1 2009</c:v>
                </c:pt>
                <c:pt idx="17">
                  <c:v>Q2 2009</c:v>
                </c:pt>
                <c:pt idx="18">
                  <c:v>Q3 2009</c:v>
                </c:pt>
                <c:pt idx="19">
                  <c:v>Q4 2009</c:v>
                </c:pt>
                <c:pt idx="20">
                  <c:v>Q1 2010</c:v>
                </c:pt>
                <c:pt idx="21">
                  <c:v>Q2 2010</c:v>
                </c:pt>
                <c:pt idx="22">
                  <c:v>Q3 2010</c:v>
                </c:pt>
                <c:pt idx="23">
                  <c:v>Q4 2010</c:v>
                </c:pt>
                <c:pt idx="24">
                  <c:v>Q1 2011</c:v>
                </c:pt>
                <c:pt idx="25">
                  <c:v>Q2 2011</c:v>
                </c:pt>
                <c:pt idx="26">
                  <c:v>Q3 2011</c:v>
                </c:pt>
                <c:pt idx="27">
                  <c:v>Q4 2011</c:v>
                </c:pt>
                <c:pt idx="28">
                  <c:v>Q1 2012</c:v>
                </c:pt>
                <c:pt idx="29">
                  <c:v>Q2 2012</c:v>
                </c:pt>
                <c:pt idx="30">
                  <c:v>Q3 2012</c:v>
                </c:pt>
                <c:pt idx="31">
                  <c:v>Q4 2012</c:v>
                </c:pt>
                <c:pt idx="32">
                  <c:v>Q1 2013</c:v>
                </c:pt>
                <c:pt idx="33">
                  <c:v>Q2 2013</c:v>
                </c:pt>
                <c:pt idx="34">
                  <c:v>Q3 2013</c:v>
                </c:pt>
                <c:pt idx="35">
                  <c:v>Q4 2013</c:v>
                </c:pt>
                <c:pt idx="36">
                  <c:v>Q1 2014</c:v>
                </c:pt>
                <c:pt idx="37">
                  <c:v>Q2 2014</c:v>
                </c:pt>
                <c:pt idx="38">
                  <c:v>Q3 2014</c:v>
                </c:pt>
                <c:pt idx="39">
                  <c:v>Q4 2014</c:v>
                </c:pt>
                <c:pt idx="40">
                  <c:v>Q1 2015</c:v>
                </c:pt>
                <c:pt idx="41">
                  <c:v>Q2 2015</c:v>
                </c:pt>
                <c:pt idx="42">
                  <c:v>Q3 2015</c:v>
                </c:pt>
                <c:pt idx="43">
                  <c:v>Q4 2015</c:v>
                </c:pt>
                <c:pt idx="44">
                  <c:v>Q1 2016</c:v>
                </c:pt>
                <c:pt idx="45">
                  <c:v>Q2 2016</c:v>
                </c:pt>
                <c:pt idx="46">
                  <c:v>Q3 2016</c:v>
                </c:pt>
                <c:pt idx="47">
                  <c:v>Q4 2016</c:v>
                </c:pt>
                <c:pt idx="48">
                  <c:v>Q1 2017</c:v>
                </c:pt>
                <c:pt idx="49">
                  <c:v>Q2 2017</c:v>
                </c:pt>
                <c:pt idx="50">
                  <c:v>Q3 2017</c:v>
                </c:pt>
                <c:pt idx="51">
                  <c:v>Q4 2017</c:v>
                </c:pt>
                <c:pt idx="52">
                  <c:v>Q1 2018</c:v>
                </c:pt>
                <c:pt idx="53">
                  <c:v>Q2 2018</c:v>
                </c:pt>
                <c:pt idx="54">
                  <c:v>Q3 2018</c:v>
                </c:pt>
                <c:pt idx="55">
                  <c:v>Q4 2018</c:v>
                </c:pt>
                <c:pt idx="56">
                  <c:v>Q1 2019</c:v>
                </c:pt>
                <c:pt idx="57">
                  <c:v>Q2 2019</c:v>
                </c:pt>
                <c:pt idx="58">
                  <c:v>Q3 2019</c:v>
                </c:pt>
              </c:strCache>
            </c:strRef>
          </c:cat>
          <c:val>
            <c:numRef>
              <c:f>Sheet1!$D$2:$D$60</c:f>
              <c:numCache>
                <c:formatCode>General</c:formatCode>
                <c:ptCount val="59"/>
                <c:pt idx="0">
                  <c:v>580</c:v>
                </c:pt>
                <c:pt idx="1">
                  <c:v>584</c:v>
                </c:pt>
                <c:pt idx="2">
                  <c:v>588</c:v>
                </c:pt>
                <c:pt idx="3">
                  <c:v>588</c:v>
                </c:pt>
                <c:pt idx="4">
                  <c:v>594</c:v>
                </c:pt>
                <c:pt idx="5">
                  <c:v>597</c:v>
                </c:pt>
                <c:pt idx="6">
                  <c:v>603</c:v>
                </c:pt>
                <c:pt idx="7">
                  <c:v>607</c:v>
                </c:pt>
                <c:pt idx="8">
                  <c:v>610</c:v>
                </c:pt>
                <c:pt idx="9">
                  <c:v>610</c:v>
                </c:pt>
                <c:pt idx="10">
                  <c:v>621</c:v>
                </c:pt>
                <c:pt idx="11">
                  <c:v>615</c:v>
                </c:pt>
                <c:pt idx="12">
                  <c:v>633</c:v>
                </c:pt>
                <c:pt idx="13">
                  <c:v>636</c:v>
                </c:pt>
                <c:pt idx="14">
                  <c:v>637</c:v>
                </c:pt>
                <c:pt idx="15">
                  <c:v>647</c:v>
                </c:pt>
                <c:pt idx="16">
                  <c:v>645</c:v>
                </c:pt>
                <c:pt idx="17">
                  <c:v>652</c:v>
                </c:pt>
                <c:pt idx="18">
                  <c:v>664</c:v>
                </c:pt>
                <c:pt idx="19">
                  <c:v>666</c:v>
                </c:pt>
                <c:pt idx="20">
                  <c:v>662</c:v>
                </c:pt>
                <c:pt idx="21">
                  <c:v>671</c:v>
                </c:pt>
                <c:pt idx="22">
                  <c:v>670</c:v>
                </c:pt>
                <c:pt idx="23">
                  <c:v>676</c:v>
                </c:pt>
                <c:pt idx="24">
                  <c:v>679</c:v>
                </c:pt>
                <c:pt idx="25">
                  <c:v>687</c:v>
                </c:pt>
                <c:pt idx="26">
                  <c:v>681</c:v>
                </c:pt>
                <c:pt idx="27">
                  <c:v>686</c:v>
                </c:pt>
                <c:pt idx="28">
                  <c:v>693</c:v>
                </c:pt>
                <c:pt idx="29">
                  <c:v>687</c:v>
                </c:pt>
                <c:pt idx="30">
                  <c:v>693</c:v>
                </c:pt>
                <c:pt idx="31">
                  <c:v>690</c:v>
                </c:pt>
                <c:pt idx="32">
                  <c:v>699</c:v>
                </c:pt>
                <c:pt idx="33">
                  <c:v>706</c:v>
                </c:pt>
                <c:pt idx="34">
                  <c:v>705</c:v>
                </c:pt>
                <c:pt idx="35">
                  <c:v>712</c:v>
                </c:pt>
                <c:pt idx="36">
                  <c:v>716</c:v>
                </c:pt>
                <c:pt idx="37">
                  <c:v>715</c:v>
                </c:pt>
                <c:pt idx="38">
                  <c:v>721</c:v>
                </c:pt>
                <c:pt idx="39">
                  <c:v>724</c:v>
                </c:pt>
                <c:pt idx="40">
                  <c:v>724</c:v>
                </c:pt>
                <c:pt idx="41">
                  <c:v>726</c:v>
                </c:pt>
                <c:pt idx="42">
                  <c:v>727</c:v>
                </c:pt>
                <c:pt idx="43">
                  <c:v>730</c:v>
                </c:pt>
                <c:pt idx="44">
                  <c:v>743</c:v>
                </c:pt>
                <c:pt idx="45">
                  <c:v>744</c:v>
                </c:pt>
                <c:pt idx="46">
                  <c:v>750</c:v>
                </c:pt>
                <c:pt idx="47">
                  <c:v>760</c:v>
                </c:pt>
                <c:pt idx="48">
                  <c:v>759</c:v>
                </c:pt>
                <c:pt idx="49">
                  <c:v>780</c:v>
                </c:pt>
                <c:pt idx="50">
                  <c:v>771</c:v>
                </c:pt>
                <c:pt idx="51">
                  <c:v>771</c:v>
                </c:pt>
                <c:pt idx="52">
                  <c:v>776</c:v>
                </c:pt>
                <c:pt idx="53">
                  <c:v>780</c:v>
                </c:pt>
                <c:pt idx="54">
                  <c:v>801</c:v>
                </c:pt>
                <c:pt idx="55">
                  <c:v>796</c:v>
                </c:pt>
                <c:pt idx="56">
                  <c:v>800</c:v>
                </c:pt>
                <c:pt idx="57">
                  <c:v>812</c:v>
                </c:pt>
                <c:pt idx="58">
                  <c:v>827</c:v>
                </c:pt>
              </c:numCache>
            </c:numRef>
          </c:val>
          <c:smooth val="0"/>
        </c:ser>
        <c:dLbls>
          <c:showLegendKey val="0"/>
          <c:showVal val="0"/>
          <c:showCatName val="0"/>
          <c:showSerName val="0"/>
          <c:showPercent val="0"/>
          <c:showBubbleSize val="0"/>
        </c:dLbls>
        <c:smooth val="0"/>
        <c:axId val="583542896"/>
        <c:axId val="583543288"/>
      </c:lineChart>
      <c:catAx>
        <c:axId val="583542896"/>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83543288"/>
        <c:crosses val="autoZero"/>
        <c:auto val="1"/>
        <c:lblAlgn val="ctr"/>
        <c:lblOffset val="100"/>
        <c:noMultiLvlLbl val="0"/>
      </c:catAx>
      <c:valAx>
        <c:axId val="583543288"/>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83542896"/>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723b405-7d06-42f8-80f3-c6ee750d0980}"/>
      </w:docPartPr>
      <w:docPartBody>
        <w:p w14:paraId="76B17D5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Ministry of Education</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Ryan Peace</dc:creator>
  <keywords/>
  <dc:description/>
  <lastModifiedBy>zaid shaqbouah</lastModifiedBy>
  <revision>55</revision>
  <dcterms:created xsi:type="dcterms:W3CDTF">2019-12-02T16:04:00.0000000Z</dcterms:created>
  <dcterms:modified xsi:type="dcterms:W3CDTF">2019-12-05T22:10:44.6672398Z</dcterms:modified>
</coreProperties>
</file>